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8"/>
      </w:tblGrid>
      <w:tr w:rsidR="007F0C82" w:rsidRPr="00D26A11" w14:paraId="64D6DE9B" w14:textId="77777777" w:rsidTr="00095B15">
        <w:trPr>
          <w:trHeight w:hRule="exact" w:val="2279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14:paraId="64D6DE9A" w14:textId="77777777" w:rsidR="007F0C82" w:rsidRPr="00D26A11" w:rsidRDefault="007F0C82" w:rsidP="00095B15"/>
        </w:tc>
      </w:tr>
    </w:tbl>
    <w:p w14:paraId="64D6DE9C" w14:textId="77777777" w:rsidR="007F0C82" w:rsidRPr="00D26A11" w:rsidRDefault="007F0C82" w:rsidP="007F0C82">
      <w:pPr>
        <w:pStyle w:val="Brdteks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</w:tblGrid>
      <w:tr w:rsidR="007F0C82" w14:paraId="64D6DE9F" w14:textId="77777777" w:rsidTr="00095B15">
        <w:trPr>
          <w:cantSplit/>
          <w:trHeight w:hRule="exact" w:val="2835"/>
        </w:trPr>
        <w:tc>
          <w:tcPr>
            <w:tcW w:w="2408" w:type="dxa"/>
            <w:tcBorders>
              <w:bottom w:val="nil"/>
            </w:tcBorders>
          </w:tcPr>
          <w:p w14:paraId="64D6DE9D" w14:textId="617D2A8A" w:rsidR="007F0C82" w:rsidRDefault="004F6586" w:rsidP="00095B15">
            <w:pPr>
              <w:pStyle w:val="skakt"/>
              <w:framePr w:w="0" w:h="8505" w:hRule="exact" w:hSpace="142" w:wrap="around" w:vAnchor="page" w:x="8931" w:y="2241"/>
              <w:rPr>
                <w:sz w:val="16"/>
              </w:rPr>
            </w:pPr>
            <w:r>
              <w:rPr>
                <w:sz w:val="16"/>
              </w:rPr>
              <w:t>28. april 2020</w:t>
            </w:r>
          </w:p>
          <w:sdt>
            <w:sdtPr>
              <w:alias w:val="Dok.nr."/>
              <w:tag w:val="InsertMessage"/>
              <w:id w:val="1131207575"/>
              <w:placeholder>
                <w:docPart w:val="780396CA5C6D4B95AADCA81FB6B326AE"/>
              </w:placeholder>
              <w:dataBinding w:prefixMappings="xmlns:gbs='http://www.software-innovation.no/growBusinessDocument'" w:xpath="/gbs:GrowBusinessDocument/gbs:DocumentNumber[@gbs:key='2128962085']" w:storeItemID="{67D2D3CA-A574-4BF2-8F10-D6490E8168EA}"/>
              <w:text/>
            </w:sdtPr>
            <w:sdtEndPr/>
            <w:sdtContent>
              <w:p w14:paraId="64D6DE9E" w14:textId="45A13607" w:rsidR="007F0C82" w:rsidRPr="006C0BDB" w:rsidRDefault="00D26A11" w:rsidP="00095B15">
                <w:pPr>
                  <w:pStyle w:val="skakt"/>
                  <w:framePr w:w="0" w:h="8505" w:hRule="exact" w:hSpace="142" w:wrap="around" w:vAnchor="page" w:x="8931" w:y="2241"/>
                </w:pPr>
                <w:r>
                  <w:t>19/07907</w:t>
                </w:r>
              </w:p>
            </w:sdtContent>
          </w:sdt>
        </w:tc>
      </w:tr>
      <w:tr w:rsidR="007F0C82" w:rsidRPr="00F06778" w14:paraId="64D6DEAA" w14:textId="77777777" w:rsidTr="00095B15">
        <w:trPr>
          <w:trHeight w:val="10950"/>
        </w:trPr>
        <w:tc>
          <w:tcPr>
            <w:tcW w:w="2408" w:type="dxa"/>
            <w:tcBorders>
              <w:bottom w:val="nil"/>
            </w:tcBorders>
          </w:tcPr>
          <w:sdt>
            <w:sdtPr>
              <w:rPr>
                <w:rFonts w:ascii="Arial Black" w:hAnsi="Arial Black"/>
              </w:rPr>
              <w:alias w:val="Nævn"/>
              <w:tag w:val="ToCase.Name"/>
              <w:id w:val="-1698307126"/>
              <w:placeholder>
                <w:docPart w:val="780396CA5C6D4B95AADCA81FB6B326AE"/>
              </w:placeholder>
              <w:dataBinding w:prefixMappings="xmlns:gbs='http://www.software-innovation.no/growBusinessDocument'" w:xpath="/gbs:GrowBusinessDocument/gbs:ToOrgUnit.Name[@gbs:key='659815117']" w:storeItemID="{67D2D3CA-A574-4BF2-8F10-D6490E8168EA}"/>
              <w:text/>
            </w:sdtPr>
            <w:sdtEndPr/>
            <w:sdtContent>
              <w:p w14:paraId="64D6DEA0" w14:textId="77777777" w:rsidR="007F0C82" w:rsidRPr="009A62FE" w:rsidRDefault="009A62FE" w:rsidP="00095B15">
                <w:pPr>
                  <w:pStyle w:val="skakt"/>
                  <w:framePr w:w="0" w:h="8505" w:hRule="exact" w:hSpace="142" w:wrap="around" w:vAnchor="page" w:x="8931" w:y="2241"/>
                  <w:rPr>
                    <w:rFonts w:ascii="Arial Black" w:hAnsi="Arial Black"/>
                  </w:rPr>
                </w:pPr>
                <w:r w:rsidRPr="009A62FE">
                  <w:rPr>
                    <w:rFonts w:ascii="Arial Black" w:hAnsi="Arial Black"/>
                  </w:rPr>
                  <w:t>ENERGIKLAGENÆVNET</w:t>
                </w:r>
              </w:p>
            </w:sdtContent>
          </w:sdt>
          <w:p w14:paraId="64D6DEA1" w14:textId="77777777" w:rsidR="007F0C82" w:rsidRPr="009A62FE" w:rsidRDefault="007F0C82" w:rsidP="00095B15">
            <w:pPr>
              <w:pStyle w:val="skakt"/>
              <w:framePr w:w="0" w:h="8505" w:hRule="exact" w:hSpace="142" w:wrap="around" w:vAnchor="page" w:x="8931" w:y="2241"/>
              <w:rPr>
                <w:rFonts w:cs="Arial"/>
                <w:sz w:val="16"/>
              </w:rPr>
            </w:pPr>
            <w:r w:rsidRPr="009A62FE">
              <w:rPr>
                <w:rFonts w:cs="Arial"/>
                <w:b/>
                <w:sz w:val="13"/>
              </w:rPr>
              <w:t>NÆVNENES HUS</w:t>
            </w:r>
          </w:p>
          <w:p w14:paraId="64D6DEA2" w14:textId="77777777" w:rsidR="007F0C82" w:rsidRDefault="007F0C82" w:rsidP="00095B15">
            <w:pPr>
              <w:pStyle w:val="skakt"/>
              <w:framePr w:w="0" w:h="8505" w:hRule="exact" w:hSpace="142" w:wrap="around" w:vAnchor="page" w:x="8931" w:y="2241"/>
              <w:rPr>
                <w:sz w:val="16"/>
              </w:rPr>
            </w:pPr>
            <w:r w:rsidRPr="008A65A2">
              <w:rPr>
                <w:sz w:val="16"/>
              </w:rPr>
              <w:t>Toldboden 2</w:t>
            </w:r>
          </w:p>
          <w:p w14:paraId="64D6DEA3" w14:textId="77777777" w:rsidR="007F0C82" w:rsidRDefault="007F0C82" w:rsidP="00095B15">
            <w:pPr>
              <w:pStyle w:val="skakt"/>
              <w:framePr w:w="0" w:h="8505" w:hRule="exact" w:hSpace="142" w:wrap="around" w:vAnchor="page" w:x="8931" w:y="2241"/>
              <w:rPr>
                <w:sz w:val="16"/>
              </w:rPr>
            </w:pPr>
            <w:r w:rsidRPr="008A65A2">
              <w:rPr>
                <w:sz w:val="16"/>
              </w:rPr>
              <w:t>8800 Viborg</w:t>
            </w:r>
          </w:p>
          <w:p w14:paraId="64D6DEA4" w14:textId="77777777" w:rsidR="007F0C82" w:rsidRDefault="007F0C82" w:rsidP="00095B15">
            <w:pPr>
              <w:pStyle w:val="skakt"/>
              <w:framePr w:w="0" w:h="8505" w:hRule="exact" w:hSpace="142" w:wrap="around" w:vAnchor="page" w:x="8931" w:y="2241"/>
              <w:tabs>
                <w:tab w:val="left" w:pos="709"/>
              </w:tabs>
              <w:rPr>
                <w:sz w:val="16"/>
              </w:rPr>
            </w:pPr>
          </w:p>
          <w:p w14:paraId="64D6DEA5" w14:textId="77777777" w:rsidR="007F0C82" w:rsidRPr="008D22A6" w:rsidRDefault="007F0C82" w:rsidP="00095B15">
            <w:pPr>
              <w:pStyle w:val="skakt"/>
              <w:framePr w:w="0" w:h="8505" w:hRule="exact" w:hSpace="142" w:wrap="around" w:vAnchor="page" w:x="8931" w:y="2241"/>
              <w:tabs>
                <w:tab w:val="left" w:pos="709"/>
              </w:tabs>
              <w:rPr>
                <w:sz w:val="16"/>
              </w:rPr>
            </w:pPr>
            <w:r w:rsidRPr="008D22A6">
              <w:rPr>
                <w:sz w:val="16"/>
              </w:rPr>
              <w:t>Tlf.</w:t>
            </w:r>
            <w:r w:rsidRPr="008D22A6">
              <w:rPr>
                <w:sz w:val="16"/>
              </w:rPr>
              <w:tab/>
            </w:r>
            <w:r w:rsidRPr="008A65A2">
              <w:rPr>
                <w:sz w:val="16"/>
              </w:rPr>
              <w:t>72 40 56</w:t>
            </w:r>
            <w:r w:rsidRPr="008A65A2">
              <w:rPr>
                <w:spacing w:val="-1"/>
                <w:sz w:val="16"/>
              </w:rPr>
              <w:t xml:space="preserve"> </w:t>
            </w:r>
            <w:r w:rsidRPr="008A65A2">
              <w:rPr>
                <w:sz w:val="16"/>
              </w:rPr>
              <w:t>00</w:t>
            </w:r>
          </w:p>
          <w:p w14:paraId="64D6DEA6" w14:textId="77777777" w:rsidR="007F0C82" w:rsidRPr="00147D2B" w:rsidRDefault="007F0C82" w:rsidP="00095B15">
            <w:pPr>
              <w:pStyle w:val="skakt"/>
              <w:framePr w:w="0" w:h="8505" w:hRule="exact" w:hSpace="142" w:wrap="around" w:vAnchor="page" w:x="8931" w:y="2241"/>
              <w:tabs>
                <w:tab w:val="left" w:pos="709"/>
              </w:tabs>
              <w:rPr>
                <w:sz w:val="16"/>
                <w:lang w:val="en-US"/>
              </w:rPr>
            </w:pPr>
            <w:r w:rsidRPr="00147D2B">
              <w:rPr>
                <w:sz w:val="16"/>
                <w:lang w:val="en-US"/>
              </w:rPr>
              <w:t>CVR-</w:t>
            </w:r>
            <w:proofErr w:type="spellStart"/>
            <w:r w:rsidRPr="00147D2B">
              <w:rPr>
                <w:sz w:val="16"/>
                <w:lang w:val="en-US"/>
              </w:rPr>
              <w:t>nr</w:t>
            </w:r>
            <w:proofErr w:type="spellEnd"/>
            <w:r w:rsidRPr="00147D2B">
              <w:rPr>
                <w:sz w:val="16"/>
                <w:lang w:val="en-US"/>
              </w:rPr>
              <w:t>.</w:t>
            </w:r>
            <w:r w:rsidRPr="00147D2B">
              <w:rPr>
                <w:sz w:val="16"/>
                <w:lang w:val="en-US"/>
              </w:rPr>
              <w:tab/>
              <w:t>37 79 55 26</w:t>
            </w:r>
          </w:p>
          <w:p w14:paraId="64D6DEA7" w14:textId="77777777" w:rsidR="007F0C82" w:rsidRPr="00147D2B" w:rsidRDefault="007F0C82" w:rsidP="00095B15">
            <w:pPr>
              <w:pStyle w:val="skakt"/>
              <w:framePr w:w="0" w:h="8505" w:hRule="exact" w:hSpace="142" w:wrap="around" w:vAnchor="page" w:x="8931" w:y="2241"/>
              <w:tabs>
                <w:tab w:val="left" w:pos="709"/>
              </w:tabs>
              <w:rPr>
                <w:sz w:val="16"/>
                <w:lang w:val="en-US"/>
              </w:rPr>
            </w:pPr>
            <w:r w:rsidRPr="00147D2B">
              <w:rPr>
                <w:sz w:val="16"/>
                <w:lang w:val="en-US"/>
              </w:rPr>
              <w:t xml:space="preserve">EAN </w:t>
            </w:r>
            <w:proofErr w:type="spellStart"/>
            <w:r w:rsidRPr="00147D2B">
              <w:rPr>
                <w:sz w:val="16"/>
                <w:lang w:val="en-US"/>
              </w:rPr>
              <w:t>nr</w:t>
            </w:r>
            <w:proofErr w:type="spellEnd"/>
            <w:r w:rsidRPr="00147D2B">
              <w:rPr>
                <w:sz w:val="16"/>
                <w:lang w:val="en-US"/>
              </w:rPr>
              <w:t>. 5798000026070</w:t>
            </w:r>
          </w:p>
          <w:sdt>
            <w:sdtPr>
              <w:rPr>
                <w:sz w:val="16"/>
                <w:lang w:val="en-US"/>
              </w:rPr>
              <w:alias w:val="Nævn e-mail"/>
              <w:tag w:val="ToCase.Name"/>
              <w:id w:val="953909753"/>
              <w:placeholder>
                <w:docPart w:val="780396CA5C6D4B95AADCA81FB6B326AE"/>
              </w:placeholder>
              <w:dataBinding w:prefixMappings="xmlns:gbs='http://www.software-innovation.no/growBusinessDocument'" w:xpath="/gbs:GrowBusinessDocument/gbs:ToOrgUnit.E-mail[@gbs:key='1185173196']" w:storeItemID="{67D2D3CA-A574-4BF2-8F10-D6490E8168EA}"/>
              <w:text/>
            </w:sdtPr>
            <w:sdtEndPr/>
            <w:sdtContent>
              <w:p w14:paraId="64D6DEA8" w14:textId="6B8A9E85" w:rsidR="007F0C82" w:rsidRPr="00147D2B" w:rsidRDefault="00D26A11" w:rsidP="00095B15">
                <w:pPr>
                  <w:pStyle w:val="skakt"/>
                  <w:framePr w:w="0" w:h="8505" w:hRule="exact" w:hSpace="142" w:wrap="around" w:vAnchor="page" w:x="8931" w:y="2241"/>
                  <w:rPr>
                    <w:sz w:val="16"/>
                    <w:lang w:val="en-US"/>
                  </w:rPr>
                </w:pPr>
                <w:r>
                  <w:rPr>
                    <w:sz w:val="16"/>
                    <w:lang w:val="en-US"/>
                  </w:rPr>
                  <w:t>ekn@naevneneshus.dk</w:t>
                </w:r>
              </w:p>
            </w:sdtContent>
          </w:sdt>
          <w:p w14:paraId="64D6DEA9" w14:textId="77777777" w:rsidR="007F0C82" w:rsidRPr="008F22B6" w:rsidRDefault="00277230" w:rsidP="00095B15">
            <w:pPr>
              <w:pStyle w:val="skakt"/>
              <w:framePr w:w="0" w:h="8505" w:hRule="exact" w:hSpace="142" w:wrap="around" w:vAnchor="page" w:x="8931" w:y="2241"/>
            </w:pPr>
            <w:hyperlink r:id="rId9" w:history="1">
              <w:r w:rsidR="007F0C82" w:rsidRPr="00926AC5">
                <w:rPr>
                  <w:rStyle w:val="Hyperlink"/>
                </w:rPr>
                <w:t>www.naevneneshus.dk</w:t>
              </w:r>
            </w:hyperlink>
          </w:p>
        </w:tc>
      </w:tr>
    </w:tbl>
    <w:p w14:paraId="64D6DEAB" w14:textId="77777777" w:rsidR="007F0C82" w:rsidRDefault="00EB3EAD" w:rsidP="007F0C82">
      <w:pPr>
        <w:tabs>
          <w:tab w:val="left" w:pos="9752"/>
          <w:tab w:val="left" w:pos="9781"/>
        </w:tabs>
        <w:ind w:right="-29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ENERGIKLAGENÆVNETS </w:t>
      </w:r>
      <w:r w:rsidR="007F0C82">
        <w:rPr>
          <w:rFonts w:cs="Times New Roman"/>
          <w:b/>
          <w:szCs w:val="24"/>
        </w:rPr>
        <w:t>AFGØRELSE</w:t>
      </w:r>
    </w:p>
    <w:p w14:paraId="64D6DEAC" w14:textId="5D3CA4EC" w:rsidR="007F0C82" w:rsidRDefault="007F0C82" w:rsidP="007F0C82">
      <w:pPr>
        <w:tabs>
          <w:tab w:val="left" w:pos="9752"/>
          <w:tab w:val="left" w:pos="9781"/>
        </w:tabs>
        <w:ind w:right="-29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i sag om </w:t>
      </w:r>
      <w:r w:rsidR="00D26A11">
        <w:rPr>
          <w:rFonts w:cs="Times New Roman"/>
          <w:b/>
          <w:szCs w:val="24"/>
        </w:rPr>
        <w:t>årsbaseret nettoafregning</w:t>
      </w:r>
    </w:p>
    <w:p w14:paraId="64D6DEAD" w14:textId="77777777" w:rsidR="007F0C82" w:rsidRDefault="007F0C82" w:rsidP="007F0C82">
      <w:pPr>
        <w:tabs>
          <w:tab w:val="left" w:pos="9752"/>
          <w:tab w:val="left" w:pos="9781"/>
        </w:tabs>
        <w:ind w:right="-29"/>
        <w:jc w:val="both"/>
        <w:rPr>
          <w:rFonts w:cs="Times New Roman"/>
          <w:szCs w:val="24"/>
        </w:rPr>
      </w:pPr>
    </w:p>
    <w:p w14:paraId="64D6DEAF" w14:textId="43F34805" w:rsidR="007F0C82" w:rsidRDefault="007F0C82" w:rsidP="00D26A11">
      <w:pPr>
        <w:tabs>
          <w:tab w:val="left" w:pos="9752"/>
          <w:tab w:val="left" w:pos="9781"/>
        </w:tabs>
        <w:ind w:right="-2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Energiklagenævnet ha</w:t>
      </w:r>
      <w:r w:rsidR="00D26A11">
        <w:rPr>
          <w:rFonts w:cs="Times New Roman"/>
          <w:szCs w:val="24"/>
        </w:rPr>
        <w:t xml:space="preserve">r modtaget en klage fra </w:t>
      </w:r>
      <w:r w:rsidR="004F6586" w:rsidRPr="004F6586">
        <w:rPr>
          <w:rFonts w:cs="Times New Roman"/>
          <w:szCs w:val="24"/>
        </w:rPr>
        <w:t xml:space="preserve">[XXX] </w:t>
      </w:r>
      <w:r w:rsidR="00D26A11">
        <w:rPr>
          <w:rFonts w:cs="Times New Roman"/>
          <w:szCs w:val="24"/>
        </w:rPr>
        <w:t>(herefter klager)</w:t>
      </w:r>
      <w:r>
        <w:rPr>
          <w:rFonts w:cs="Times New Roman"/>
          <w:szCs w:val="24"/>
        </w:rPr>
        <w:t xml:space="preserve"> over</w:t>
      </w:r>
      <w:r w:rsidR="00D26A11">
        <w:rPr>
          <w:rFonts w:cs="Times New Roman"/>
          <w:szCs w:val="24"/>
        </w:rPr>
        <w:t xml:space="preserve"> </w:t>
      </w:r>
      <w:r w:rsidR="00F67476">
        <w:rPr>
          <w:rFonts w:cs="Times New Roman"/>
          <w:szCs w:val="24"/>
        </w:rPr>
        <w:t>Energistyrelsens</w:t>
      </w:r>
      <w:r>
        <w:rPr>
          <w:rFonts w:cs="Times New Roman"/>
          <w:szCs w:val="24"/>
        </w:rPr>
        <w:t xml:space="preserve"> </w:t>
      </w:r>
      <w:r w:rsidR="00D26A11">
        <w:rPr>
          <w:rFonts w:cs="Times New Roman"/>
          <w:szCs w:val="24"/>
        </w:rPr>
        <w:t>afgørelse om afslag på årsbaseret nettoafregning.</w:t>
      </w:r>
    </w:p>
    <w:p w14:paraId="3C1936FF" w14:textId="77777777" w:rsidR="00D26A11" w:rsidRPr="004241E8" w:rsidRDefault="00D26A11" w:rsidP="00D26A11">
      <w:pPr>
        <w:tabs>
          <w:tab w:val="left" w:pos="9752"/>
          <w:tab w:val="left" w:pos="9781"/>
        </w:tabs>
        <w:ind w:right="-29"/>
        <w:jc w:val="both"/>
        <w:rPr>
          <w:rFonts w:cs="Times New Roman"/>
        </w:rPr>
      </w:pPr>
    </w:p>
    <w:p w14:paraId="64D6DEB7" w14:textId="3885A41E" w:rsidR="007F0C82" w:rsidRDefault="007F0C82" w:rsidP="007F0C82">
      <w:pPr>
        <w:tabs>
          <w:tab w:val="left" w:pos="9752"/>
          <w:tab w:val="left" w:pos="9781"/>
        </w:tabs>
        <w:ind w:right="-2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Energiklagenævnet </w:t>
      </w: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AUTHOR  stadfæster  \* MERGEFORMAT </w:instrText>
      </w:r>
      <w:r>
        <w:rPr>
          <w:rFonts w:cs="Times New Roman"/>
          <w:szCs w:val="24"/>
        </w:rPr>
        <w:fldChar w:fldCharType="separate"/>
      </w:r>
      <w:r w:rsidR="00CE43AE">
        <w:rPr>
          <w:rFonts w:cs="Times New Roman"/>
          <w:noProof/>
          <w:szCs w:val="24"/>
        </w:rPr>
        <w:t>stadfæster</w:t>
      </w:r>
      <w:r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</w:t>
      </w:r>
      <w:r w:rsidR="00F67476">
        <w:rPr>
          <w:rFonts w:cs="Times New Roman"/>
          <w:szCs w:val="24"/>
        </w:rPr>
        <w:t>Energistyrelsens</w:t>
      </w:r>
      <w:r w:rsidR="00D26A11">
        <w:rPr>
          <w:rFonts w:cs="Times New Roman"/>
          <w:szCs w:val="24"/>
        </w:rPr>
        <w:t xml:space="preserve"> afgørelse.</w:t>
      </w:r>
    </w:p>
    <w:p w14:paraId="64D6DEB8" w14:textId="77777777" w:rsidR="007F0C82" w:rsidRPr="00582C31" w:rsidRDefault="007F0C82" w:rsidP="007F0C82">
      <w:pPr>
        <w:rPr>
          <w:rFonts w:cs="Times New Roman"/>
        </w:rPr>
      </w:pPr>
    </w:p>
    <w:p w14:paraId="7C2DEA2A" w14:textId="19FF5832" w:rsidR="0055162D" w:rsidRPr="0055162D" w:rsidRDefault="007F0C82" w:rsidP="0055162D">
      <w:pPr>
        <w:pStyle w:val="Listeafsnit"/>
        <w:numPr>
          <w:ilvl w:val="0"/>
          <w:numId w:val="1"/>
        </w:numPr>
        <w:ind w:left="0" w:right="418"/>
        <w:jc w:val="both"/>
        <w:rPr>
          <w:rFonts w:cs="Times New Roman"/>
          <w:b/>
        </w:rPr>
      </w:pPr>
      <w:r w:rsidRPr="00916898">
        <w:rPr>
          <w:rFonts w:cs="Times New Roman"/>
          <w:b/>
        </w:rPr>
        <w:t xml:space="preserve">Klagen til Energiklagenævnet </w:t>
      </w:r>
    </w:p>
    <w:p w14:paraId="6A905FFD" w14:textId="145A28E1" w:rsidR="0055162D" w:rsidRDefault="00195762" w:rsidP="0055162D">
      <w:pPr>
        <w:pStyle w:val="Listeafsnit"/>
        <w:jc w:val="both"/>
        <w:rPr>
          <w:rFonts w:cs="Times New Roman"/>
        </w:rPr>
      </w:pPr>
      <w:r w:rsidRPr="00195762">
        <w:rPr>
          <w:rFonts w:cs="Times New Roman"/>
        </w:rPr>
        <w:t>Energiklagenævnet modtog den 25. okt</w:t>
      </w:r>
      <w:r w:rsidR="00F67476">
        <w:rPr>
          <w:rFonts w:cs="Times New Roman"/>
        </w:rPr>
        <w:t>ober 2019 klagen over Energistyrelsens</w:t>
      </w:r>
      <w:r w:rsidRPr="00195762">
        <w:rPr>
          <w:rFonts w:cs="Times New Roman"/>
        </w:rPr>
        <w:t xml:space="preserve"> afgørelse af 1. oktober 2019. V</w:t>
      </w:r>
      <w:r w:rsidR="00F67476">
        <w:rPr>
          <w:rFonts w:cs="Times New Roman"/>
        </w:rPr>
        <w:t>ed afgørelsen meddelte Energistyrelsen</w:t>
      </w:r>
      <w:r w:rsidRPr="00195762">
        <w:rPr>
          <w:rFonts w:cs="Times New Roman"/>
        </w:rPr>
        <w:t xml:space="preserve"> afslag på klagers anmodning om årsbaseret nettoafregning af solcelleanlægget beliggende på adressen </w:t>
      </w:r>
      <w:r w:rsidR="004F6586">
        <w:rPr>
          <w:rFonts w:cs="Times New Roman"/>
        </w:rPr>
        <w:t>[XXX]</w:t>
      </w:r>
      <w:r w:rsidRPr="00195762">
        <w:rPr>
          <w:rFonts w:cs="Times New Roman"/>
        </w:rPr>
        <w:t xml:space="preserve">, med GSRN-nr. </w:t>
      </w:r>
      <w:r w:rsidR="004F6586" w:rsidRPr="00822CFC">
        <w:rPr>
          <w:rFonts w:cs="Times New Roman"/>
          <w:szCs w:val="24"/>
        </w:rPr>
        <w:t>[XXX]</w:t>
      </w:r>
      <w:r w:rsidRPr="00195762">
        <w:rPr>
          <w:rFonts w:cs="Times New Roman"/>
        </w:rPr>
        <w:t>.</w:t>
      </w:r>
    </w:p>
    <w:p w14:paraId="359C2E89" w14:textId="77777777" w:rsidR="0055162D" w:rsidRDefault="0055162D" w:rsidP="0055162D">
      <w:pPr>
        <w:pStyle w:val="Listeafsnit"/>
        <w:jc w:val="both"/>
        <w:rPr>
          <w:rFonts w:cs="Times New Roman"/>
        </w:rPr>
      </w:pPr>
    </w:p>
    <w:p w14:paraId="4F6C51C7" w14:textId="0B78D551" w:rsidR="00195762" w:rsidRPr="00195762" w:rsidRDefault="00195762" w:rsidP="0055162D">
      <w:pPr>
        <w:pStyle w:val="Listeafsnit"/>
        <w:jc w:val="both"/>
        <w:rPr>
          <w:rFonts w:cs="Times New Roman"/>
        </w:rPr>
      </w:pPr>
      <w:r w:rsidRPr="00195762">
        <w:rPr>
          <w:rFonts w:cs="Times New Roman"/>
        </w:rPr>
        <w:t xml:space="preserve">Sagen </w:t>
      </w:r>
      <w:r w:rsidR="00031BAB">
        <w:rPr>
          <w:rFonts w:cs="Times New Roman"/>
        </w:rPr>
        <w:t>d</w:t>
      </w:r>
      <w:r w:rsidR="00F67476">
        <w:rPr>
          <w:rFonts w:cs="Times New Roman"/>
        </w:rPr>
        <w:t>rejer sig om, hvorvidt Energistyrelsen</w:t>
      </w:r>
      <w:r w:rsidRPr="00195762">
        <w:rPr>
          <w:rFonts w:cs="Times New Roman"/>
        </w:rPr>
        <w:t xml:space="preserve"> med rette har meddelt klager afslag på årsbaseret nettoafregning, jf. nettoafregningsbekendtgørelsens</w:t>
      </w:r>
      <w:r>
        <w:rPr>
          <w:rStyle w:val="Fodnotehenvisning"/>
          <w:rFonts w:cs="Times New Roman"/>
        </w:rPr>
        <w:footnoteReference w:id="1"/>
      </w:r>
      <w:r w:rsidRPr="00195762">
        <w:rPr>
          <w:rFonts w:cs="Times New Roman"/>
        </w:rPr>
        <w:t xml:space="preserve"> §§ 20 og 21.</w:t>
      </w:r>
    </w:p>
    <w:p w14:paraId="64D6DEBA" w14:textId="77777777" w:rsidR="007F0C82" w:rsidRDefault="007F0C82" w:rsidP="00E221D4">
      <w:pPr>
        <w:pStyle w:val="Listeafsnit"/>
        <w:ind w:right="418"/>
        <w:jc w:val="both"/>
        <w:rPr>
          <w:rFonts w:cs="Times New Roman"/>
          <w:b/>
        </w:rPr>
      </w:pPr>
    </w:p>
    <w:p w14:paraId="1D73E618" w14:textId="3E350E6C" w:rsidR="0055162D" w:rsidRPr="0055162D" w:rsidRDefault="007F0C82" w:rsidP="0055162D">
      <w:pPr>
        <w:pStyle w:val="Listeafsnit"/>
        <w:numPr>
          <w:ilvl w:val="0"/>
          <w:numId w:val="1"/>
        </w:numPr>
        <w:ind w:left="0" w:right="418"/>
        <w:jc w:val="both"/>
        <w:rPr>
          <w:rFonts w:cs="Times New Roman"/>
          <w:b/>
        </w:rPr>
      </w:pPr>
      <w:r w:rsidRPr="00916898">
        <w:rPr>
          <w:rFonts w:cs="Times New Roman"/>
          <w:b/>
        </w:rPr>
        <w:t>Sagens oplysninger</w:t>
      </w:r>
    </w:p>
    <w:p w14:paraId="6D8A66E8" w14:textId="77777777" w:rsidR="0055162D" w:rsidRDefault="00195762" w:rsidP="0055162D">
      <w:pPr>
        <w:pStyle w:val="Listeafsnit"/>
        <w:jc w:val="both"/>
        <w:rPr>
          <w:rFonts w:cs="Times New Roman"/>
        </w:rPr>
      </w:pPr>
      <w:r>
        <w:rPr>
          <w:rFonts w:cs="Times New Roman"/>
        </w:rPr>
        <w:t xml:space="preserve">Klager anmodede den 21. december </w:t>
      </w:r>
      <w:r w:rsidR="00F67476">
        <w:rPr>
          <w:rFonts w:cs="Times New Roman"/>
        </w:rPr>
        <w:t>2018 Energistyrelsen</w:t>
      </w:r>
      <w:r>
        <w:rPr>
          <w:rFonts w:cs="Times New Roman"/>
        </w:rPr>
        <w:t xml:space="preserve"> om årsbaseret nettoafregning for </w:t>
      </w:r>
      <w:r w:rsidR="00031BAB">
        <w:rPr>
          <w:rFonts w:cs="Times New Roman"/>
        </w:rPr>
        <w:t>d</w:t>
      </w:r>
      <w:r>
        <w:rPr>
          <w:rFonts w:cs="Times New Roman"/>
        </w:rPr>
        <w:t>et i sagen omhandlede solcelleanlæg.</w:t>
      </w:r>
    </w:p>
    <w:p w14:paraId="56E27316" w14:textId="77777777" w:rsidR="0055162D" w:rsidRDefault="0055162D" w:rsidP="0055162D">
      <w:pPr>
        <w:pStyle w:val="Listeafsnit"/>
        <w:jc w:val="both"/>
        <w:rPr>
          <w:rFonts w:cs="Times New Roman"/>
        </w:rPr>
      </w:pPr>
    </w:p>
    <w:p w14:paraId="7F8451EE" w14:textId="77777777" w:rsidR="0055162D" w:rsidRDefault="00195762" w:rsidP="0055162D">
      <w:pPr>
        <w:pStyle w:val="Listeafsnit"/>
        <w:jc w:val="both"/>
        <w:rPr>
          <w:rFonts w:cs="Times New Roman"/>
        </w:rPr>
      </w:pPr>
      <w:r>
        <w:rPr>
          <w:rFonts w:cs="Times New Roman"/>
        </w:rPr>
        <w:t>Anlægget har en samlet effekt på 2,5 kW</w:t>
      </w:r>
      <w:r w:rsidR="0067720D">
        <w:rPr>
          <w:rFonts w:cs="Times New Roman"/>
        </w:rPr>
        <w:t xml:space="preserve">, og er tilsluttet forbrugsinstallationen på </w:t>
      </w:r>
      <w:proofErr w:type="spellStart"/>
      <w:r w:rsidR="0067720D">
        <w:rPr>
          <w:rFonts w:cs="Times New Roman"/>
        </w:rPr>
        <w:t>Sandskærvej</w:t>
      </w:r>
      <w:proofErr w:type="spellEnd"/>
      <w:r w:rsidR="0067720D">
        <w:rPr>
          <w:rFonts w:cs="Times New Roman"/>
        </w:rPr>
        <w:t xml:space="preserve"> 282, 6</w:t>
      </w:r>
      <w:r w:rsidR="00031BAB">
        <w:rPr>
          <w:rFonts w:cs="Times New Roman"/>
        </w:rPr>
        <w:t>2</w:t>
      </w:r>
      <w:r w:rsidR="0067720D">
        <w:rPr>
          <w:rFonts w:cs="Times New Roman"/>
        </w:rPr>
        <w:t>00 Aabenraa.</w:t>
      </w:r>
    </w:p>
    <w:p w14:paraId="0004E3B7" w14:textId="77777777" w:rsidR="0055162D" w:rsidRDefault="0055162D" w:rsidP="0055162D">
      <w:pPr>
        <w:pStyle w:val="Listeafsnit"/>
        <w:jc w:val="both"/>
        <w:rPr>
          <w:rFonts w:cs="Times New Roman"/>
        </w:rPr>
      </w:pPr>
    </w:p>
    <w:p w14:paraId="1C0C882E" w14:textId="77777777" w:rsidR="0055162D" w:rsidRDefault="00DD2AFB" w:rsidP="0055162D">
      <w:pPr>
        <w:pStyle w:val="Listeafsnit"/>
        <w:jc w:val="both"/>
        <w:rPr>
          <w:rFonts w:cs="Times New Roman"/>
        </w:rPr>
      </w:pPr>
      <w:proofErr w:type="spellStart"/>
      <w:r>
        <w:rPr>
          <w:rFonts w:cs="Times New Roman"/>
        </w:rPr>
        <w:t>Netvirksomheden</w:t>
      </w:r>
      <w:proofErr w:type="spellEnd"/>
      <w:r w:rsidR="0067720D">
        <w:rPr>
          <w:rFonts w:cs="Times New Roman"/>
        </w:rPr>
        <w:t xml:space="preserve">, </w:t>
      </w:r>
      <w:proofErr w:type="spellStart"/>
      <w:r w:rsidR="0067720D">
        <w:rPr>
          <w:rFonts w:cs="Times New Roman"/>
        </w:rPr>
        <w:t>Evonet</w:t>
      </w:r>
      <w:proofErr w:type="spellEnd"/>
      <w:r w:rsidR="0067720D">
        <w:rPr>
          <w:rFonts w:cs="Times New Roman"/>
        </w:rPr>
        <w:t xml:space="preserve"> A/S (nu N1 A/S)</w:t>
      </w:r>
      <w:r>
        <w:rPr>
          <w:rFonts w:cs="Times New Roman"/>
        </w:rPr>
        <w:t>, har over</w:t>
      </w:r>
      <w:r w:rsidR="00031BAB">
        <w:rPr>
          <w:rFonts w:cs="Times New Roman"/>
        </w:rPr>
        <w:t xml:space="preserve"> </w:t>
      </w:r>
      <w:r>
        <w:rPr>
          <w:rFonts w:cs="Times New Roman"/>
        </w:rPr>
        <w:t xml:space="preserve">for </w:t>
      </w:r>
      <w:r w:rsidR="00F67476">
        <w:rPr>
          <w:rFonts w:cs="Times New Roman"/>
        </w:rPr>
        <w:t>Energistyrelsen</w:t>
      </w:r>
      <w:r>
        <w:rPr>
          <w:rFonts w:cs="Times New Roman"/>
        </w:rPr>
        <w:t xml:space="preserve"> meddelt, at anmeldelse af anlægget blev modtaget den 19. marts 2012, og at anlægget blev </w:t>
      </w:r>
      <w:r w:rsidR="00980E9A">
        <w:rPr>
          <w:rFonts w:cs="Times New Roman"/>
        </w:rPr>
        <w:t>nettilsluttet</w:t>
      </w:r>
      <w:r>
        <w:rPr>
          <w:rFonts w:cs="Times New Roman"/>
        </w:rPr>
        <w:t xml:space="preserve"> den 13. marts 2013.</w:t>
      </w:r>
    </w:p>
    <w:p w14:paraId="6F8DD81D" w14:textId="77777777" w:rsidR="0055162D" w:rsidRDefault="0055162D" w:rsidP="0055162D">
      <w:pPr>
        <w:pStyle w:val="Listeafsnit"/>
        <w:jc w:val="both"/>
        <w:rPr>
          <w:rFonts w:cs="Times New Roman"/>
        </w:rPr>
      </w:pPr>
    </w:p>
    <w:p w14:paraId="2268C40B" w14:textId="41870570" w:rsidR="0055162D" w:rsidRDefault="00980E9A" w:rsidP="0055162D">
      <w:pPr>
        <w:pStyle w:val="Listeafsnit"/>
        <w:jc w:val="both"/>
        <w:rPr>
          <w:rFonts w:cs="Times New Roman"/>
        </w:rPr>
      </w:pPr>
      <w:r>
        <w:rPr>
          <w:rFonts w:cs="Times New Roman"/>
        </w:rPr>
        <w:t>Som dokumentation for, at klager har indgået en bindende aftale om køb</w:t>
      </w:r>
      <w:r w:rsidR="00636486">
        <w:rPr>
          <w:rFonts w:cs="Times New Roman"/>
        </w:rPr>
        <w:t xml:space="preserve"> af solcelleanlægget</w:t>
      </w:r>
      <w:r>
        <w:rPr>
          <w:rFonts w:cs="Times New Roman"/>
        </w:rPr>
        <w:t xml:space="preserve"> inden skæringsdatoen </w:t>
      </w:r>
      <w:r w:rsidR="00636486">
        <w:rPr>
          <w:rFonts w:cs="Times New Roman"/>
        </w:rPr>
        <w:t>d</w:t>
      </w:r>
      <w:r>
        <w:rPr>
          <w:rFonts w:cs="Times New Roman"/>
        </w:rPr>
        <w:t>en 19. november 2012, har klager indsendt en jobseddel</w:t>
      </w:r>
      <w:r w:rsidR="00636486">
        <w:rPr>
          <w:rFonts w:cs="Times New Roman"/>
        </w:rPr>
        <w:t xml:space="preserve"> fra EL-Møller A/S</w:t>
      </w:r>
      <w:r w:rsidR="00DB09CE">
        <w:rPr>
          <w:rFonts w:cs="Times New Roman"/>
        </w:rPr>
        <w:t xml:space="preserve"> af 19. marts 2012</w:t>
      </w:r>
      <w:r>
        <w:rPr>
          <w:rFonts w:cs="Times New Roman"/>
        </w:rPr>
        <w:t xml:space="preserve">, </w:t>
      </w:r>
      <w:r w:rsidR="003323D6">
        <w:rPr>
          <w:rFonts w:cs="Times New Roman"/>
        </w:rPr>
        <w:t xml:space="preserve">en </w:t>
      </w:r>
      <w:r w:rsidR="004D56A2">
        <w:rPr>
          <w:rFonts w:cs="Times New Roman"/>
        </w:rPr>
        <w:t>tilmeldingsblanket</w:t>
      </w:r>
      <w:r w:rsidR="008A195A">
        <w:rPr>
          <w:rFonts w:cs="Times New Roman"/>
        </w:rPr>
        <w:t>, hvoraf det fremgår, at tilmelding er sket den 19. marts 2012</w:t>
      </w:r>
      <w:r w:rsidR="000C2966">
        <w:rPr>
          <w:rFonts w:cs="Times New Roman"/>
        </w:rPr>
        <w:t>.</w:t>
      </w:r>
      <w:r w:rsidR="008A195A">
        <w:rPr>
          <w:rFonts w:cs="Times New Roman"/>
        </w:rPr>
        <w:t xml:space="preserve"> </w:t>
      </w:r>
      <w:r w:rsidR="000C2966">
        <w:rPr>
          <w:rFonts w:cs="Times New Roman"/>
        </w:rPr>
        <w:t xml:space="preserve">Endvidere har klager indsendt </w:t>
      </w:r>
      <w:r w:rsidR="003323D6">
        <w:rPr>
          <w:rFonts w:cs="Times New Roman"/>
        </w:rPr>
        <w:t>et</w:t>
      </w:r>
      <w:r w:rsidR="008A195A">
        <w:rPr>
          <w:rFonts w:cs="Times New Roman"/>
        </w:rPr>
        <w:t xml:space="preserve"> skema for beregning af 29. marts 2012, hvor det fremgår, at anlægget er registreret hos Energinet.dk, og at solcelleanlægget kan tilsluttes installationen.</w:t>
      </w:r>
    </w:p>
    <w:p w14:paraId="06611046" w14:textId="77777777" w:rsidR="0055162D" w:rsidRDefault="0055162D" w:rsidP="0055162D">
      <w:pPr>
        <w:pStyle w:val="Listeafsnit"/>
        <w:jc w:val="both"/>
        <w:rPr>
          <w:rFonts w:cs="Times New Roman"/>
        </w:rPr>
      </w:pPr>
    </w:p>
    <w:p w14:paraId="43C30D63" w14:textId="18D2B1C5" w:rsidR="00DB09CE" w:rsidRDefault="00DB09CE" w:rsidP="0055162D">
      <w:pPr>
        <w:pStyle w:val="Listeafsnit"/>
        <w:jc w:val="both"/>
        <w:rPr>
          <w:rFonts w:cs="Times New Roman"/>
        </w:rPr>
      </w:pPr>
      <w:r>
        <w:rPr>
          <w:rFonts w:cs="Times New Roman"/>
        </w:rPr>
        <w:t>Klager har</w:t>
      </w:r>
      <w:r w:rsidR="00F67476">
        <w:rPr>
          <w:rFonts w:cs="Times New Roman"/>
        </w:rPr>
        <w:t xml:space="preserve"> efterfølgende</w:t>
      </w:r>
      <w:r>
        <w:rPr>
          <w:rFonts w:cs="Times New Roman"/>
        </w:rPr>
        <w:t xml:space="preserve"> </w:t>
      </w:r>
      <w:r w:rsidR="00F67476">
        <w:rPr>
          <w:rFonts w:cs="Times New Roman"/>
        </w:rPr>
        <w:t xml:space="preserve">til Energiklagenævnet </w:t>
      </w:r>
      <w:r>
        <w:rPr>
          <w:rFonts w:cs="Times New Roman"/>
        </w:rPr>
        <w:t xml:space="preserve">fremsendt en skrivelse, hvori det bekræftes, at </w:t>
      </w:r>
      <w:r w:rsidR="00917630">
        <w:rPr>
          <w:rFonts w:cs="Times New Roman"/>
        </w:rPr>
        <w:t>d</w:t>
      </w:r>
      <w:r>
        <w:rPr>
          <w:rFonts w:cs="Times New Roman"/>
        </w:rPr>
        <w:t xml:space="preserve">er er indgået en bindende købsaftale om køb af solceller til adressen </w:t>
      </w:r>
      <w:r w:rsidR="004F6586" w:rsidRPr="00822CFC">
        <w:rPr>
          <w:rFonts w:cs="Times New Roman"/>
          <w:szCs w:val="24"/>
        </w:rPr>
        <w:t>[XXX]</w:t>
      </w:r>
      <w:r w:rsidR="000C2966">
        <w:rPr>
          <w:rFonts w:cs="Times New Roman"/>
        </w:rPr>
        <w:t>,</w:t>
      </w:r>
      <w:r>
        <w:rPr>
          <w:rFonts w:cs="Times New Roman"/>
        </w:rPr>
        <w:t xml:space="preserve"> den 19. marts 2012</w:t>
      </w:r>
      <w:r w:rsidR="00636486">
        <w:rPr>
          <w:rFonts w:cs="Times New Roman"/>
        </w:rPr>
        <w:t xml:space="preserve"> mellem EL-Møller</w:t>
      </w:r>
      <w:r w:rsidR="00917630">
        <w:rPr>
          <w:rFonts w:cs="Times New Roman"/>
        </w:rPr>
        <w:t xml:space="preserve"> A/S og klager</w:t>
      </w:r>
      <w:r>
        <w:rPr>
          <w:rFonts w:cs="Times New Roman"/>
        </w:rPr>
        <w:t>.</w:t>
      </w:r>
      <w:r w:rsidR="00917630">
        <w:rPr>
          <w:rFonts w:cs="Times New Roman"/>
        </w:rPr>
        <w:t xml:space="preserve"> </w:t>
      </w:r>
      <w:r w:rsidR="00636486">
        <w:rPr>
          <w:rFonts w:cs="Times New Roman"/>
        </w:rPr>
        <w:t>Skrivelsen er dateret den 25. oktober 2019.</w:t>
      </w:r>
    </w:p>
    <w:p w14:paraId="6EAA50C6" w14:textId="1FFB5F77" w:rsidR="00195762" w:rsidRDefault="00195762" w:rsidP="00E221D4">
      <w:pPr>
        <w:pStyle w:val="Listeafsnit"/>
        <w:ind w:right="418"/>
        <w:jc w:val="both"/>
        <w:rPr>
          <w:rFonts w:cs="Times New Roman"/>
          <w:b/>
        </w:rPr>
      </w:pPr>
    </w:p>
    <w:p w14:paraId="666842DE" w14:textId="651316E5" w:rsidR="0055162D" w:rsidRPr="0055162D" w:rsidRDefault="005A14F6" w:rsidP="0055162D">
      <w:pPr>
        <w:pStyle w:val="Listeafsnit"/>
        <w:numPr>
          <w:ilvl w:val="0"/>
          <w:numId w:val="1"/>
        </w:numPr>
        <w:ind w:left="0" w:right="418"/>
        <w:jc w:val="both"/>
        <w:rPr>
          <w:rFonts w:cs="Times New Roman"/>
          <w:b/>
        </w:rPr>
      </w:pPr>
      <w:r>
        <w:rPr>
          <w:rFonts w:cs="Times New Roman"/>
          <w:b/>
        </w:rPr>
        <w:t>E</w:t>
      </w:r>
      <w:r w:rsidR="00F67476">
        <w:rPr>
          <w:rFonts w:cs="Times New Roman"/>
          <w:b/>
        </w:rPr>
        <w:t>nergistyrelsens</w:t>
      </w:r>
      <w:r>
        <w:rPr>
          <w:rFonts w:cs="Times New Roman"/>
          <w:b/>
        </w:rPr>
        <w:t xml:space="preserve"> afgørelse</w:t>
      </w:r>
    </w:p>
    <w:p w14:paraId="3856421F" w14:textId="77777777" w:rsidR="0055162D" w:rsidRDefault="00F67476" w:rsidP="0055162D">
      <w:pPr>
        <w:pStyle w:val="Listeafsnit"/>
        <w:jc w:val="both"/>
        <w:rPr>
          <w:rFonts w:cs="Times New Roman"/>
        </w:rPr>
      </w:pPr>
      <w:r>
        <w:rPr>
          <w:rFonts w:cs="Times New Roman"/>
        </w:rPr>
        <w:t>Energistyrelsen</w:t>
      </w:r>
      <w:r w:rsidR="005A14F6">
        <w:rPr>
          <w:rFonts w:cs="Times New Roman"/>
        </w:rPr>
        <w:t xml:space="preserve"> traf den 1. oktober 2019 afgørelse om afslag på klagers anmodning om årsbaseret nettoafregning af det omhandlede solcelleanlæg.</w:t>
      </w:r>
    </w:p>
    <w:p w14:paraId="48887961" w14:textId="77777777" w:rsidR="0055162D" w:rsidRDefault="0055162D" w:rsidP="0055162D">
      <w:pPr>
        <w:pStyle w:val="Listeafsnit"/>
        <w:jc w:val="both"/>
        <w:rPr>
          <w:rFonts w:cs="Times New Roman"/>
        </w:rPr>
      </w:pPr>
    </w:p>
    <w:p w14:paraId="32A2E00C" w14:textId="77777777" w:rsidR="0055162D" w:rsidRDefault="00F67476" w:rsidP="0055162D">
      <w:pPr>
        <w:pStyle w:val="Listeafsnit"/>
        <w:jc w:val="both"/>
        <w:rPr>
          <w:rFonts w:cs="Times New Roman"/>
        </w:rPr>
      </w:pPr>
      <w:r>
        <w:rPr>
          <w:rFonts w:cs="Times New Roman"/>
        </w:rPr>
        <w:t>Energistyrelsen</w:t>
      </w:r>
      <w:r w:rsidR="005A14F6">
        <w:rPr>
          <w:rFonts w:cs="Times New Roman"/>
        </w:rPr>
        <w:t xml:space="preserve"> lagde i den forbindelse vægt på følgende:</w:t>
      </w:r>
    </w:p>
    <w:p w14:paraId="018BF868" w14:textId="77777777" w:rsidR="0055162D" w:rsidRDefault="0055162D" w:rsidP="0055162D">
      <w:pPr>
        <w:pStyle w:val="Listeafsnit"/>
        <w:jc w:val="both"/>
        <w:rPr>
          <w:rFonts w:cs="Times New Roman"/>
        </w:rPr>
      </w:pPr>
    </w:p>
    <w:p w14:paraId="1CA9EDE0" w14:textId="77777777" w:rsidR="0055162D" w:rsidRDefault="005A14F6" w:rsidP="0055162D">
      <w:pPr>
        <w:pStyle w:val="Listeafsnit"/>
        <w:numPr>
          <w:ilvl w:val="0"/>
          <w:numId w:val="5"/>
        </w:numPr>
        <w:jc w:val="both"/>
        <w:rPr>
          <w:rFonts w:cs="Times New Roman"/>
        </w:rPr>
      </w:pPr>
      <w:r w:rsidRPr="0055162D">
        <w:rPr>
          <w:rFonts w:cs="Times New Roman"/>
        </w:rPr>
        <w:t xml:space="preserve">Idet nettilslutningen af solcelleanlægget ifølge </w:t>
      </w:r>
      <w:proofErr w:type="spellStart"/>
      <w:r w:rsidRPr="0055162D">
        <w:rPr>
          <w:rFonts w:cs="Times New Roman"/>
        </w:rPr>
        <w:t>Evonet</w:t>
      </w:r>
      <w:proofErr w:type="spellEnd"/>
      <w:r w:rsidR="00B97AC9" w:rsidRPr="0055162D">
        <w:rPr>
          <w:rFonts w:cs="Times New Roman"/>
        </w:rPr>
        <w:t xml:space="preserve"> A/S</w:t>
      </w:r>
      <w:r w:rsidRPr="0055162D">
        <w:rPr>
          <w:rFonts w:cs="Times New Roman"/>
        </w:rPr>
        <w:t xml:space="preserve"> er sket den 13. marts 2013, finder nettoafregningsbekendtgørelsens § 20 ikke anvendelse, eftersom betingelsen om, at solcelleanlægget skal være nettilsluttet inden den 20. november 2012, ikke er opfyldt.</w:t>
      </w:r>
    </w:p>
    <w:p w14:paraId="368776B7" w14:textId="77777777" w:rsidR="0055162D" w:rsidRDefault="0055162D" w:rsidP="0055162D">
      <w:pPr>
        <w:pStyle w:val="Listeafsnit"/>
        <w:ind w:left="720"/>
        <w:jc w:val="both"/>
        <w:rPr>
          <w:rFonts w:cs="Times New Roman"/>
        </w:rPr>
      </w:pPr>
    </w:p>
    <w:p w14:paraId="45387FEA" w14:textId="309746E4" w:rsidR="0055162D" w:rsidRDefault="005A14F6" w:rsidP="0055162D">
      <w:pPr>
        <w:pStyle w:val="Listeafsnit"/>
        <w:numPr>
          <w:ilvl w:val="0"/>
          <w:numId w:val="5"/>
        </w:numPr>
        <w:jc w:val="both"/>
        <w:rPr>
          <w:rFonts w:cs="Times New Roman"/>
        </w:rPr>
      </w:pPr>
      <w:r w:rsidRPr="0055162D">
        <w:rPr>
          <w:rFonts w:cs="Times New Roman"/>
        </w:rPr>
        <w:t>Det skal derfor vurderes, om klager kan få årsbaseret nettoafregning efter nettoafregningsbekendtgørelsens § 21.</w:t>
      </w:r>
    </w:p>
    <w:p w14:paraId="0112346C" w14:textId="77777777" w:rsidR="0055162D" w:rsidRDefault="0055162D" w:rsidP="0055162D">
      <w:pPr>
        <w:pStyle w:val="Listeafsnit"/>
        <w:ind w:left="720"/>
        <w:jc w:val="both"/>
        <w:rPr>
          <w:rFonts w:cs="Times New Roman"/>
        </w:rPr>
      </w:pPr>
    </w:p>
    <w:p w14:paraId="2F4FE4EF" w14:textId="3456CD64" w:rsidR="0055162D" w:rsidRDefault="00F67476" w:rsidP="0055162D">
      <w:pPr>
        <w:pStyle w:val="Listeafsnit"/>
        <w:numPr>
          <w:ilvl w:val="0"/>
          <w:numId w:val="5"/>
        </w:numPr>
        <w:jc w:val="both"/>
        <w:rPr>
          <w:rFonts w:cs="Times New Roman"/>
        </w:rPr>
      </w:pPr>
      <w:r w:rsidRPr="0055162D">
        <w:rPr>
          <w:rFonts w:cs="Times New Roman"/>
        </w:rPr>
        <w:t>Energistyrelsen</w:t>
      </w:r>
      <w:r w:rsidR="005A14F6" w:rsidRPr="0055162D">
        <w:rPr>
          <w:rFonts w:cs="Times New Roman"/>
        </w:rPr>
        <w:t xml:space="preserve"> finder ikke, at </w:t>
      </w:r>
      <w:r w:rsidR="00636486" w:rsidRPr="0055162D">
        <w:rPr>
          <w:rFonts w:cs="Times New Roman"/>
        </w:rPr>
        <w:t>d</w:t>
      </w:r>
      <w:r w:rsidR="005A14F6" w:rsidRPr="0055162D">
        <w:rPr>
          <w:rFonts w:cs="Times New Roman"/>
        </w:rPr>
        <w:t>et fremsendte udgør tilstrækkelig dokumentation for, at der senest den</w:t>
      </w:r>
      <w:r w:rsidR="00844570" w:rsidRPr="0055162D">
        <w:rPr>
          <w:rFonts w:cs="Times New Roman"/>
        </w:rPr>
        <w:t xml:space="preserve"> 19. november 2012 er indgået</w:t>
      </w:r>
      <w:r w:rsidR="005A14F6" w:rsidRPr="0055162D">
        <w:rPr>
          <w:rFonts w:cs="Times New Roman"/>
        </w:rPr>
        <w:t xml:space="preserve"> bindende aftale om køb af solcelleanlægget.</w:t>
      </w:r>
    </w:p>
    <w:p w14:paraId="0108D931" w14:textId="77777777" w:rsidR="0055162D" w:rsidRDefault="0055162D" w:rsidP="0055162D">
      <w:pPr>
        <w:pStyle w:val="Listeafsnit"/>
        <w:ind w:left="720"/>
        <w:jc w:val="both"/>
        <w:rPr>
          <w:rFonts w:cs="Times New Roman"/>
        </w:rPr>
      </w:pPr>
    </w:p>
    <w:p w14:paraId="4476B6D1" w14:textId="4DA6549D" w:rsidR="005A14F6" w:rsidRPr="0055162D" w:rsidRDefault="00F67476" w:rsidP="0055162D">
      <w:pPr>
        <w:pStyle w:val="Listeafsnit"/>
        <w:numPr>
          <w:ilvl w:val="0"/>
          <w:numId w:val="5"/>
        </w:numPr>
        <w:jc w:val="both"/>
        <w:rPr>
          <w:rFonts w:cs="Times New Roman"/>
        </w:rPr>
      </w:pPr>
      <w:r w:rsidRPr="0055162D">
        <w:rPr>
          <w:rFonts w:cs="Times New Roman"/>
        </w:rPr>
        <w:t>Energistyrelsen</w:t>
      </w:r>
      <w:r w:rsidR="00C6235D" w:rsidRPr="0055162D">
        <w:rPr>
          <w:rFonts w:cs="Times New Roman"/>
        </w:rPr>
        <w:t xml:space="preserve"> vurderer </w:t>
      </w:r>
      <w:r w:rsidRPr="0055162D">
        <w:rPr>
          <w:rFonts w:cs="Times New Roman"/>
        </w:rPr>
        <w:t>d</w:t>
      </w:r>
      <w:r w:rsidR="00C6235D" w:rsidRPr="0055162D">
        <w:rPr>
          <w:rFonts w:cs="Times New Roman"/>
        </w:rPr>
        <w:t>erfor, at</w:t>
      </w:r>
      <w:r w:rsidRPr="0055162D">
        <w:rPr>
          <w:rFonts w:cs="Times New Roman"/>
        </w:rPr>
        <w:t xml:space="preserve"> betingelsen i nettoafregningsbekendtgørelsens § 21, stk. 1, nr. 2, jf. stk. 2, ikke er opfyldt, hvorfor der ikke kan opnås </w:t>
      </w:r>
      <w:r w:rsidR="008A195A" w:rsidRPr="0055162D">
        <w:rPr>
          <w:rFonts w:cs="Times New Roman"/>
        </w:rPr>
        <w:t>årsbaseret nettoafregning for det</w:t>
      </w:r>
      <w:r w:rsidRPr="0055162D">
        <w:rPr>
          <w:rFonts w:cs="Times New Roman"/>
        </w:rPr>
        <w:t xml:space="preserve"> omhandlede solcelleanlæg.</w:t>
      </w:r>
    </w:p>
    <w:p w14:paraId="6E4D4CFA" w14:textId="77777777" w:rsidR="005A14F6" w:rsidRDefault="005A14F6" w:rsidP="00E221D4">
      <w:pPr>
        <w:pStyle w:val="Listeafsnit"/>
        <w:ind w:right="418"/>
        <w:jc w:val="both"/>
        <w:rPr>
          <w:rFonts w:cs="Times New Roman"/>
          <w:b/>
        </w:rPr>
      </w:pPr>
    </w:p>
    <w:p w14:paraId="64D6DEC0" w14:textId="77777777" w:rsidR="007F0C82" w:rsidRDefault="007F0C82" w:rsidP="00E221D4">
      <w:pPr>
        <w:pStyle w:val="Listeafsnit"/>
        <w:numPr>
          <w:ilvl w:val="0"/>
          <w:numId w:val="1"/>
        </w:numPr>
        <w:ind w:left="0" w:right="418"/>
        <w:jc w:val="both"/>
        <w:rPr>
          <w:rFonts w:cs="Times New Roman"/>
          <w:b/>
        </w:rPr>
      </w:pPr>
      <w:r w:rsidRPr="00916898">
        <w:rPr>
          <w:rFonts w:cs="Times New Roman"/>
          <w:b/>
        </w:rPr>
        <w:t>Klagers bemærkninger</w:t>
      </w:r>
    </w:p>
    <w:p w14:paraId="03CB27A6" w14:textId="44547AF4" w:rsidR="007E7F19" w:rsidRDefault="007E7F19" w:rsidP="007E7F19">
      <w:pPr>
        <w:pStyle w:val="Listeafsnit"/>
        <w:jc w:val="both"/>
        <w:rPr>
          <w:rFonts w:cs="Times New Roman"/>
        </w:rPr>
      </w:pPr>
      <w:r>
        <w:rPr>
          <w:rFonts w:cs="Times New Roman"/>
        </w:rPr>
        <w:t xml:space="preserve">Klager ønsker, at Energistyrelsens afgørelse ændres, så klager opnår årsbaseret nettoafregning for </w:t>
      </w:r>
      <w:r w:rsidR="000C2966">
        <w:rPr>
          <w:rFonts w:cs="Times New Roman"/>
        </w:rPr>
        <w:t>d</w:t>
      </w:r>
      <w:r>
        <w:rPr>
          <w:rFonts w:cs="Times New Roman"/>
        </w:rPr>
        <w:t xml:space="preserve">et omhandlede </w:t>
      </w:r>
      <w:r w:rsidR="008A195A">
        <w:rPr>
          <w:rFonts w:cs="Times New Roman"/>
        </w:rPr>
        <w:t>solcelle</w:t>
      </w:r>
      <w:r>
        <w:rPr>
          <w:rFonts w:cs="Times New Roman"/>
        </w:rPr>
        <w:t xml:space="preserve">anlæg. </w:t>
      </w:r>
      <w:r w:rsidR="00844570">
        <w:rPr>
          <w:rFonts w:cs="Times New Roman"/>
        </w:rPr>
        <w:t>Klager har i forbindelse med klagen anført følgende:</w:t>
      </w:r>
    </w:p>
    <w:p w14:paraId="5E075B31" w14:textId="77777777" w:rsidR="007E7F19" w:rsidRDefault="007E7F19" w:rsidP="007E7F19">
      <w:pPr>
        <w:pStyle w:val="Listeafsnit"/>
        <w:jc w:val="both"/>
        <w:rPr>
          <w:rFonts w:cs="Times New Roman"/>
        </w:rPr>
      </w:pPr>
    </w:p>
    <w:p w14:paraId="13077D71" w14:textId="44753CEE" w:rsidR="00844570" w:rsidRDefault="007E7F19" w:rsidP="00844570">
      <w:pPr>
        <w:pStyle w:val="Listeafsnit"/>
        <w:numPr>
          <w:ilvl w:val="0"/>
          <w:numId w:val="4"/>
        </w:numPr>
        <w:jc w:val="both"/>
        <w:rPr>
          <w:rFonts w:cs="Times New Roman"/>
        </w:rPr>
      </w:pPr>
      <w:r w:rsidRPr="00844570">
        <w:rPr>
          <w:rFonts w:cs="Times New Roman"/>
        </w:rPr>
        <w:t xml:space="preserve">Klager er af den opfattelse, at der er fremsendt tilstrækkelig dokumentation for opnåelse af årsbaseret nettoafregning. </w:t>
      </w:r>
    </w:p>
    <w:p w14:paraId="1CBDD6EE" w14:textId="77777777" w:rsidR="00844570" w:rsidRDefault="00844570" w:rsidP="00844570">
      <w:pPr>
        <w:pStyle w:val="Listeafsnit"/>
        <w:ind w:left="720"/>
        <w:jc w:val="both"/>
        <w:rPr>
          <w:rFonts w:cs="Times New Roman"/>
        </w:rPr>
      </w:pPr>
    </w:p>
    <w:p w14:paraId="67582C53" w14:textId="6AEE10CD" w:rsidR="00844570" w:rsidRPr="008A195A" w:rsidRDefault="007E7F19" w:rsidP="00BE0739">
      <w:pPr>
        <w:pStyle w:val="Listeafsnit"/>
        <w:numPr>
          <w:ilvl w:val="0"/>
          <w:numId w:val="4"/>
        </w:numPr>
        <w:jc w:val="both"/>
        <w:rPr>
          <w:rFonts w:cs="Times New Roman"/>
        </w:rPr>
      </w:pPr>
      <w:r w:rsidRPr="008A195A">
        <w:rPr>
          <w:rFonts w:cs="Times New Roman"/>
        </w:rPr>
        <w:t>Klager henviser desuden til sin indsendte skrivelse</w:t>
      </w:r>
      <w:r w:rsidR="008A195A">
        <w:rPr>
          <w:rFonts w:cs="Times New Roman"/>
        </w:rPr>
        <w:t xml:space="preserve"> af 25. oktober 2019</w:t>
      </w:r>
      <w:r w:rsidRPr="008A195A">
        <w:rPr>
          <w:rFonts w:cs="Times New Roman"/>
        </w:rPr>
        <w:t>, hvoraf det fremgår, at der er indgået en binden</w:t>
      </w:r>
      <w:r w:rsidR="004D56A2" w:rsidRPr="008A195A">
        <w:rPr>
          <w:rFonts w:cs="Times New Roman"/>
        </w:rPr>
        <w:t>d</w:t>
      </w:r>
      <w:r w:rsidR="008A195A" w:rsidRPr="008A195A">
        <w:rPr>
          <w:rFonts w:cs="Times New Roman"/>
        </w:rPr>
        <w:t>e afta</w:t>
      </w:r>
      <w:r w:rsidR="008A195A">
        <w:rPr>
          <w:rFonts w:cs="Times New Roman"/>
        </w:rPr>
        <w:t>l</w:t>
      </w:r>
      <w:r w:rsidR="008A195A" w:rsidRPr="008A195A">
        <w:rPr>
          <w:rFonts w:cs="Times New Roman"/>
        </w:rPr>
        <w:t>e</w:t>
      </w:r>
      <w:r w:rsidRPr="008A195A">
        <w:rPr>
          <w:rFonts w:cs="Times New Roman"/>
        </w:rPr>
        <w:t xml:space="preserve"> om køb af solceller til adressen </w:t>
      </w:r>
      <w:r w:rsidR="004F6586" w:rsidRPr="00822CFC">
        <w:rPr>
          <w:rFonts w:cs="Times New Roman"/>
          <w:szCs w:val="24"/>
        </w:rPr>
        <w:t>[XXX]</w:t>
      </w:r>
      <w:r w:rsidR="004F6586">
        <w:rPr>
          <w:rFonts w:cs="Times New Roman"/>
          <w:szCs w:val="24"/>
        </w:rPr>
        <w:t>,</w:t>
      </w:r>
      <w:r w:rsidRPr="008A195A">
        <w:rPr>
          <w:rFonts w:cs="Times New Roman"/>
        </w:rPr>
        <w:t xml:space="preserve"> den</w:t>
      </w:r>
      <w:r w:rsidR="00844570" w:rsidRPr="008A195A">
        <w:rPr>
          <w:rFonts w:cs="Times New Roman"/>
        </w:rPr>
        <w:t xml:space="preserve"> 19. marts 2012 mellem EL-Møller</w:t>
      </w:r>
      <w:r w:rsidRPr="008A195A">
        <w:rPr>
          <w:rFonts w:cs="Times New Roman"/>
        </w:rPr>
        <w:t xml:space="preserve"> A/S og klager. </w:t>
      </w:r>
    </w:p>
    <w:p w14:paraId="242D45E6" w14:textId="77777777" w:rsidR="00844570" w:rsidRPr="00844570" w:rsidRDefault="00844570" w:rsidP="00844570">
      <w:pPr>
        <w:pStyle w:val="Listeafsnit"/>
        <w:rPr>
          <w:rFonts w:cs="Times New Roman"/>
        </w:rPr>
      </w:pPr>
    </w:p>
    <w:p w14:paraId="64D6DEC1" w14:textId="05DC1682" w:rsidR="007F0C82" w:rsidRPr="00844570" w:rsidRDefault="007E7F19" w:rsidP="00844570">
      <w:pPr>
        <w:pStyle w:val="Listeafsnit"/>
        <w:numPr>
          <w:ilvl w:val="0"/>
          <w:numId w:val="4"/>
        </w:numPr>
        <w:jc w:val="both"/>
        <w:rPr>
          <w:rFonts w:cs="Times New Roman"/>
        </w:rPr>
      </w:pPr>
      <w:r w:rsidRPr="00844570">
        <w:rPr>
          <w:rFonts w:cs="Times New Roman"/>
        </w:rPr>
        <w:t>Endelig påpeger klager, at der er tale om en mundtlig aftale, der er indgået og registreret ved netselskabet længe før en efterfølgende lovændring kom på tegnebrættet.</w:t>
      </w:r>
    </w:p>
    <w:p w14:paraId="342BCF87" w14:textId="175AB882" w:rsidR="007E7F19" w:rsidRPr="00916898" w:rsidRDefault="007E7F19" w:rsidP="00E221D4">
      <w:pPr>
        <w:pStyle w:val="Listeafsnit"/>
        <w:rPr>
          <w:rFonts w:cs="Times New Roman"/>
          <w:b/>
        </w:rPr>
      </w:pPr>
    </w:p>
    <w:p w14:paraId="599BEE8F" w14:textId="77777777" w:rsidR="007E7F19" w:rsidRDefault="007E7F19" w:rsidP="00E221D4">
      <w:pPr>
        <w:pStyle w:val="Listeafsnit"/>
        <w:numPr>
          <w:ilvl w:val="0"/>
          <w:numId w:val="1"/>
        </w:numPr>
        <w:ind w:left="0" w:right="418"/>
        <w:jc w:val="both"/>
        <w:rPr>
          <w:rFonts w:cs="Times New Roman"/>
          <w:b/>
        </w:rPr>
      </w:pPr>
      <w:r>
        <w:rPr>
          <w:rFonts w:cs="Times New Roman"/>
          <w:b/>
        </w:rPr>
        <w:t>Energistyrelsens bemærkninger</w:t>
      </w:r>
    </w:p>
    <w:p w14:paraId="64D6DEC3" w14:textId="114F5899" w:rsidR="00CE43AE" w:rsidRPr="0055162D" w:rsidRDefault="007E7F19" w:rsidP="0055162D">
      <w:pPr>
        <w:pStyle w:val="Listeafsnit"/>
        <w:jc w:val="both"/>
        <w:rPr>
          <w:rFonts w:cs="Times New Roman"/>
        </w:rPr>
      </w:pPr>
      <w:r>
        <w:t xml:space="preserve">Energistyrelsen finder ikke, at der er fremsendt den nødvendige dokumentation for, at der er indgået en aftale om køb af solcelleanlæg senest den 19. </w:t>
      </w:r>
      <w:r>
        <w:lastRenderedPageBreak/>
        <w:t>november 2012, og har på den baggrund givet afslag på ansøgning om årsbaseret nettoafregning.</w:t>
      </w:r>
      <w:r w:rsidR="00844570">
        <w:t xml:space="preserve"> Energistyrelsen kommer ikke med yderligere bemærkninger til klagen.</w:t>
      </w:r>
    </w:p>
    <w:p w14:paraId="64D6DEC5" w14:textId="77777777" w:rsidR="007F0C82" w:rsidRPr="00916898" w:rsidRDefault="007F0C82" w:rsidP="00E221D4">
      <w:pPr>
        <w:pStyle w:val="Listeafsnit"/>
        <w:rPr>
          <w:rFonts w:cs="Times New Roman"/>
          <w:b/>
        </w:rPr>
      </w:pPr>
    </w:p>
    <w:p w14:paraId="64D6DEC6" w14:textId="77777777" w:rsidR="007F0C82" w:rsidRDefault="007F0C82" w:rsidP="00E221D4">
      <w:pPr>
        <w:pStyle w:val="Listeafsnit"/>
        <w:numPr>
          <w:ilvl w:val="0"/>
          <w:numId w:val="1"/>
        </w:numPr>
        <w:ind w:left="0" w:right="418"/>
        <w:jc w:val="both"/>
        <w:rPr>
          <w:rFonts w:cs="Times New Roman"/>
          <w:b/>
        </w:rPr>
      </w:pPr>
      <w:r w:rsidRPr="00916898">
        <w:rPr>
          <w:rFonts w:cs="Times New Roman"/>
          <w:b/>
        </w:rPr>
        <w:t>Retsgrundlaget</w:t>
      </w:r>
    </w:p>
    <w:p w14:paraId="64D6DEC7" w14:textId="77777777" w:rsidR="007F0C82" w:rsidRPr="00916898" w:rsidRDefault="007F0C82" w:rsidP="00E221D4">
      <w:pPr>
        <w:pStyle w:val="Listeafsnit"/>
        <w:jc w:val="both"/>
        <w:rPr>
          <w:rFonts w:cs="Times New Roman"/>
        </w:rPr>
      </w:pPr>
      <w:r w:rsidRPr="00916898">
        <w:rPr>
          <w:rFonts w:cs="Times New Roman"/>
        </w:rPr>
        <w:t>Retsgrundlaget fremgår af bilag til denne afgørelse.</w:t>
      </w:r>
    </w:p>
    <w:p w14:paraId="64D6DEC8" w14:textId="77777777" w:rsidR="007F0C82" w:rsidRPr="00916898" w:rsidRDefault="007F0C82" w:rsidP="00E221D4">
      <w:pPr>
        <w:pStyle w:val="Listeafsnit"/>
        <w:rPr>
          <w:rFonts w:cs="Times New Roman"/>
          <w:b/>
        </w:rPr>
      </w:pPr>
    </w:p>
    <w:p w14:paraId="11B6D786" w14:textId="758390B0" w:rsidR="0055162D" w:rsidRPr="0055162D" w:rsidRDefault="007F0C82" w:rsidP="007E7F19">
      <w:pPr>
        <w:pStyle w:val="Listeafsnit"/>
        <w:numPr>
          <w:ilvl w:val="0"/>
          <w:numId w:val="1"/>
        </w:numPr>
        <w:ind w:left="0"/>
        <w:jc w:val="both"/>
        <w:rPr>
          <w:rFonts w:cs="Times New Roman"/>
        </w:rPr>
      </w:pPr>
      <w:r w:rsidRPr="00916898">
        <w:rPr>
          <w:rFonts w:cs="Times New Roman"/>
          <w:b/>
        </w:rPr>
        <w:t>Energiklagenævnets begrundelse for afgørelsen</w:t>
      </w:r>
    </w:p>
    <w:p w14:paraId="7B7D9CB2" w14:textId="77777777" w:rsidR="0055162D" w:rsidRDefault="007E7F19" w:rsidP="0055162D">
      <w:pPr>
        <w:pStyle w:val="Listeafsnit"/>
        <w:jc w:val="both"/>
        <w:rPr>
          <w:rFonts w:cs="Times New Roman"/>
          <w:u w:val="single"/>
        </w:rPr>
      </w:pPr>
      <w:r w:rsidRPr="00B97AC9">
        <w:rPr>
          <w:rFonts w:cs="Times New Roman"/>
          <w:u w:val="single"/>
        </w:rPr>
        <w:t>7.1 Nettoafregningsbekendtgørelsens § 20</w:t>
      </w:r>
    </w:p>
    <w:p w14:paraId="3C5D65E9" w14:textId="2A5BC25D" w:rsidR="0055162D" w:rsidRDefault="00B97AC9" w:rsidP="0055162D">
      <w:pPr>
        <w:pStyle w:val="Listeafsnit"/>
        <w:jc w:val="both"/>
        <w:rPr>
          <w:rFonts w:cs="Times New Roman"/>
        </w:rPr>
      </w:pPr>
      <w:r>
        <w:rPr>
          <w:rFonts w:cs="Times New Roman"/>
        </w:rPr>
        <w:t xml:space="preserve">I henhold til nettoafregningsbekendtgørelsens § 20, stk. 1, kan egenproducenter af elektricitet fra elproduktionsanlæg, som er nettilsluttet inden </w:t>
      </w:r>
      <w:r w:rsidR="00844570">
        <w:rPr>
          <w:rFonts w:cs="Times New Roman"/>
        </w:rPr>
        <w:t>d</w:t>
      </w:r>
      <w:r>
        <w:rPr>
          <w:rFonts w:cs="Times New Roman"/>
        </w:rPr>
        <w:t>en 20. november 2012, for</w:t>
      </w:r>
      <w:r w:rsidR="00A54E37">
        <w:rPr>
          <w:rFonts w:cs="Times New Roman"/>
        </w:rPr>
        <w:t>t</w:t>
      </w:r>
      <w:r>
        <w:rPr>
          <w:rFonts w:cs="Times New Roman"/>
        </w:rPr>
        <w:t>sat uden tilsagn få nettoafregning betinget af, at elproducenten opfylder betingelserne i § 5, stk. 2, i bekendtgørelse nr. 804 af 28. juni 2010 om nettoafregning for egenproducenter af elektricitet.</w:t>
      </w:r>
    </w:p>
    <w:p w14:paraId="5C7407CB" w14:textId="77777777" w:rsidR="0055162D" w:rsidRDefault="0055162D" w:rsidP="0055162D">
      <w:pPr>
        <w:pStyle w:val="Listeafsnit"/>
        <w:jc w:val="both"/>
        <w:rPr>
          <w:rFonts w:cs="Times New Roman"/>
        </w:rPr>
      </w:pPr>
    </w:p>
    <w:p w14:paraId="1C7A7AB3" w14:textId="77777777" w:rsidR="0055162D" w:rsidRDefault="00B97AC9" w:rsidP="0055162D">
      <w:pPr>
        <w:pStyle w:val="Listeafsnit"/>
        <w:jc w:val="both"/>
        <w:rPr>
          <w:rFonts w:cs="Times New Roman"/>
        </w:rPr>
      </w:pPr>
      <w:r>
        <w:rPr>
          <w:rFonts w:cs="Times New Roman"/>
        </w:rPr>
        <w:t xml:space="preserve">Det er således et krav, at elproduktionsanlægget er nettilsluttet inden </w:t>
      </w:r>
      <w:r w:rsidR="00844570">
        <w:rPr>
          <w:rFonts w:cs="Times New Roman"/>
        </w:rPr>
        <w:t>d</w:t>
      </w:r>
      <w:r>
        <w:rPr>
          <w:rFonts w:cs="Times New Roman"/>
        </w:rPr>
        <w:t>en 20. november 2012.</w:t>
      </w:r>
    </w:p>
    <w:p w14:paraId="36A57B3A" w14:textId="77777777" w:rsidR="0055162D" w:rsidRDefault="0055162D" w:rsidP="0055162D">
      <w:pPr>
        <w:pStyle w:val="Listeafsnit"/>
        <w:jc w:val="both"/>
        <w:rPr>
          <w:rFonts w:cs="Times New Roman"/>
        </w:rPr>
      </w:pPr>
    </w:p>
    <w:p w14:paraId="103FB558" w14:textId="77777777" w:rsidR="0055162D" w:rsidRDefault="00844570" w:rsidP="0055162D">
      <w:pPr>
        <w:pStyle w:val="Listeafsnit"/>
        <w:jc w:val="both"/>
        <w:rPr>
          <w:rFonts w:cs="Times New Roman"/>
        </w:rPr>
      </w:pPr>
      <w:r>
        <w:rPr>
          <w:rFonts w:cs="Times New Roman"/>
        </w:rPr>
        <w:t xml:space="preserve">I klagers tilfælde har </w:t>
      </w:r>
      <w:proofErr w:type="spellStart"/>
      <w:r>
        <w:rPr>
          <w:rFonts w:cs="Times New Roman"/>
        </w:rPr>
        <w:t>n</w:t>
      </w:r>
      <w:r w:rsidR="00B97AC9">
        <w:rPr>
          <w:rFonts w:cs="Times New Roman"/>
        </w:rPr>
        <w:t>etvirksomheden</w:t>
      </w:r>
      <w:proofErr w:type="spellEnd"/>
      <w:r w:rsidR="00B97AC9">
        <w:rPr>
          <w:rFonts w:cs="Times New Roman"/>
        </w:rPr>
        <w:t xml:space="preserve">, </w:t>
      </w:r>
      <w:proofErr w:type="spellStart"/>
      <w:r w:rsidR="00B97AC9">
        <w:rPr>
          <w:rFonts w:cs="Times New Roman"/>
        </w:rPr>
        <w:t>Evonet</w:t>
      </w:r>
      <w:proofErr w:type="spellEnd"/>
      <w:r w:rsidR="00B97AC9">
        <w:rPr>
          <w:rFonts w:cs="Times New Roman"/>
        </w:rPr>
        <w:t xml:space="preserve"> A/S oplyst, at anlægget er nettilsluttet den 13. marts 2013.</w:t>
      </w:r>
    </w:p>
    <w:p w14:paraId="5DD9D88A" w14:textId="77777777" w:rsidR="0055162D" w:rsidRDefault="0055162D" w:rsidP="0055162D">
      <w:pPr>
        <w:pStyle w:val="Listeafsnit"/>
        <w:jc w:val="both"/>
        <w:rPr>
          <w:rFonts w:cs="Times New Roman"/>
        </w:rPr>
      </w:pPr>
    </w:p>
    <w:p w14:paraId="284E2546" w14:textId="77777777" w:rsidR="0055162D" w:rsidRDefault="00B97AC9" w:rsidP="0055162D">
      <w:pPr>
        <w:pStyle w:val="Listeafsnit"/>
        <w:jc w:val="both"/>
        <w:rPr>
          <w:rFonts w:cs="Times New Roman"/>
        </w:rPr>
      </w:pPr>
      <w:r>
        <w:rPr>
          <w:rFonts w:cs="Times New Roman"/>
        </w:rPr>
        <w:t>Klager kan derfor ikke opnå nettoafregning efter nettoafregningsbekendtgørelsens § 20.</w:t>
      </w:r>
    </w:p>
    <w:p w14:paraId="1E42D9D1" w14:textId="77777777" w:rsidR="0055162D" w:rsidRDefault="0055162D" w:rsidP="0055162D">
      <w:pPr>
        <w:pStyle w:val="Listeafsnit"/>
        <w:jc w:val="both"/>
        <w:rPr>
          <w:rFonts w:cs="Times New Roman"/>
        </w:rPr>
      </w:pPr>
    </w:p>
    <w:p w14:paraId="4B1FB912" w14:textId="77777777" w:rsidR="0055162D" w:rsidRDefault="00B97AC9" w:rsidP="0055162D">
      <w:pPr>
        <w:pStyle w:val="Listeafsnit"/>
        <w:jc w:val="both"/>
        <w:rPr>
          <w:rFonts w:cs="Times New Roman"/>
        </w:rPr>
      </w:pPr>
      <w:r w:rsidRPr="00B97AC9">
        <w:rPr>
          <w:rFonts w:cs="Times New Roman"/>
          <w:u w:val="single"/>
        </w:rPr>
        <w:t>7.2 Nettoafregningsbekendtgørelsens § 21</w:t>
      </w:r>
    </w:p>
    <w:p w14:paraId="69BD3631" w14:textId="77777777" w:rsidR="0055162D" w:rsidRDefault="00B97AC9" w:rsidP="0055162D">
      <w:pPr>
        <w:pStyle w:val="Listeafsnit"/>
        <w:jc w:val="both"/>
        <w:rPr>
          <w:rFonts w:cs="Times New Roman"/>
        </w:rPr>
      </w:pPr>
      <w:r>
        <w:rPr>
          <w:rFonts w:cs="Times New Roman"/>
        </w:rPr>
        <w:t>I henhold til nettoafregningsbekendtgørelsens § 21, stk. 1, kan en ejer af et elproduktionsanlæg ved anmodning til Energistyrelsen få nettoafregning</w:t>
      </w:r>
      <w:r w:rsidR="007A5EC9">
        <w:rPr>
          <w:rFonts w:cs="Times New Roman"/>
        </w:rPr>
        <w:t xml:space="preserve"> på års</w:t>
      </w:r>
      <w:r w:rsidR="00BF795F">
        <w:rPr>
          <w:rFonts w:cs="Times New Roman"/>
        </w:rPr>
        <w:t>basis efter § 5 i bekendtgørelse</w:t>
      </w:r>
      <w:r w:rsidR="007A5EC9">
        <w:rPr>
          <w:rFonts w:cs="Times New Roman"/>
        </w:rPr>
        <w:t xml:space="preserve"> </w:t>
      </w:r>
      <w:r w:rsidR="00844570">
        <w:rPr>
          <w:rFonts w:cs="Times New Roman"/>
        </w:rPr>
        <w:t>n</w:t>
      </w:r>
      <w:r w:rsidR="007A5EC9">
        <w:rPr>
          <w:rFonts w:cs="Times New Roman"/>
        </w:rPr>
        <w:t>r. 804 af 28. juni 2010 om nettoafregning for egenproducenter af elektricitet frem til og med den 19. november 2032 forudsat, at en række betingelser er opfyldt.</w:t>
      </w:r>
    </w:p>
    <w:p w14:paraId="59A1E049" w14:textId="77777777" w:rsidR="0055162D" w:rsidRDefault="0055162D" w:rsidP="0055162D">
      <w:pPr>
        <w:pStyle w:val="Listeafsnit"/>
        <w:jc w:val="both"/>
        <w:rPr>
          <w:rFonts w:cs="Times New Roman"/>
        </w:rPr>
      </w:pPr>
    </w:p>
    <w:p w14:paraId="700E2D30" w14:textId="77777777" w:rsidR="0055162D" w:rsidRDefault="007A5EC9" w:rsidP="0055162D">
      <w:pPr>
        <w:pStyle w:val="Listeafsnit"/>
        <w:jc w:val="both"/>
        <w:rPr>
          <w:rFonts w:cs="Times New Roman"/>
        </w:rPr>
      </w:pPr>
      <w:r>
        <w:rPr>
          <w:rFonts w:cs="Times New Roman"/>
        </w:rPr>
        <w:t>Der gælder blandt andet et krav om, at ejeren har indgået bindende aftale om køb af elproduktionsanlægget senest den 19. november 2012, jf. nettoafregningsbekendtgørelsens § 21, stk. 1, nr. 2.</w:t>
      </w:r>
    </w:p>
    <w:p w14:paraId="34815CF2" w14:textId="77777777" w:rsidR="0055162D" w:rsidRDefault="0055162D" w:rsidP="0055162D">
      <w:pPr>
        <w:pStyle w:val="Listeafsnit"/>
        <w:jc w:val="both"/>
        <w:rPr>
          <w:rFonts w:cs="Times New Roman"/>
        </w:rPr>
      </w:pPr>
    </w:p>
    <w:p w14:paraId="15DA9C08" w14:textId="77777777" w:rsidR="0055162D" w:rsidRDefault="007A5EC9" w:rsidP="0055162D">
      <w:pPr>
        <w:pStyle w:val="Listeafsnit"/>
        <w:jc w:val="both"/>
        <w:rPr>
          <w:rFonts w:cs="Times New Roman"/>
        </w:rPr>
      </w:pPr>
      <w:r>
        <w:rPr>
          <w:rFonts w:cs="Times New Roman"/>
        </w:rPr>
        <w:t>Der gælder endvidere i henhold til nettoafregningsbekendtgørelsens § 21, stk. 2, et krav om, at ejeren ved købsfaktura eller lignende kan fremvise skriftlig dokumentation for, at elproduktionsanlægget er købt senest den 19. november 2012.</w:t>
      </w:r>
    </w:p>
    <w:p w14:paraId="2DB89DD6" w14:textId="77777777" w:rsidR="0055162D" w:rsidRDefault="0055162D" w:rsidP="0055162D">
      <w:pPr>
        <w:pStyle w:val="Listeafsnit"/>
        <w:jc w:val="both"/>
        <w:rPr>
          <w:rFonts w:cs="Times New Roman"/>
        </w:rPr>
      </w:pPr>
    </w:p>
    <w:p w14:paraId="48D61056" w14:textId="4EB30034" w:rsidR="0055162D" w:rsidRDefault="007A5EC9" w:rsidP="0055162D">
      <w:pPr>
        <w:pStyle w:val="Listeafsnit"/>
        <w:jc w:val="both"/>
        <w:rPr>
          <w:rFonts w:cs="Times New Roman"/>
        </w:rPr>
      </w:pPr>
      <w:r>
        <w:rPr>
          <w:rFonts w:cs="Times New Roman"/>
        </w:rPr>
        <w:t>Energiklagenævnet er enig</w:t>
      </w:r>
      <w:r w:rsidR="00A54E37">
        <w:rPr>
          <w:rFonts w:cs="Times New Roman"/>
        </w:rPr>
        <w:t>t</w:t>
      </w:r>
      <w:r>
        <w:rPr>
          <w:rFonts w:cs="Times New Roman"/>
        </w:rPr>
        <w:t xml:space="preserve"> med Energistyrelsen i, at klager ikke har fremvist </w:t>
      </w:r>
      <w:r w:rsidR="00A54E37">
        <w:rPr>
          <w:rFonts w:cs="Times New Roman"/>
        </w:rPr>
        <w:t xml:space="preserve">tilstrækkeligt </w:t>
      </w:r>
      <w:r>
        <w:rPr>
          <w:rFonts w:cs="Times New Roman"/>
        </w:rPr>
        <w:t>skriftlig dokumentation for, at klager har indgået en bindende aftale om køb af elproduktionsanlægget senest den 19. november 2012.</w:t>
      </w:r>
    </w:p>
    <w:p w14:paraId="662FA247" w14:textId="77777777" w:rsidR="0055162D" w:rsidRDefault="0055162D" w:rsidP="0055162D">
      <w:pPr>
        <w:pStyle w:val="Listeafsnit"/>
        <w:jc w:val="both"/>
        <w:rPr>
          <w:rFonts w:cs="Times New Roman"/>
        </w:rPr>
      </w:pPr>
    </w:p>
    <w:p w14:paraId="4112DCC5" w14:textId="77777777" w:rsidR="0055162D" w:rsidRDefault="00753709" w:rsidP="0055162D">
      <w:pPr>
        <w:pStyle w:val="Listeafsnit"/>
        <w:jc w:val="both"/>
        <w:rPr>
          <w:rFonts w:cs="Times New Roman"/>
        </w:rPr>
      </w:pPr>
      <w:r>
        <w:rPr>
          <w:rFonts w:cs="Times New Roman"/>
        </w:rPr>
        <w:t xml:space="preserve">Energiklagenævnet har herved lagt vægt på, at overgangsbestemmelsen i nettoafregningsbekendtgørelsens § 21 skal fortolkes restriktivt. Det skyldes, at der er tale om en overgangsordning, der regulerer overgangen fra en gunstig til en mindre gunstig afregningsform for elektricitet, </w:t>
      </w:r>
      <w:r w:rsidR="00844570">
        <w:rPr>
          <w:rFonts w:cs="Times New Roman"/>
        </w:rPr>
        <w:t>der er egenproduceret</w:t>
      </w:r>
      <w:r>
        <w:rPr>
          <w:rFonts w:cs="Times New Roman"/>
        </w:rPr>
        <w:t xml:space="preserve"> på visse mindre anlæg. Formålet med overgangsordningen er at beskytte visse dispositioner, som anlægsejeren havde foretaget, inden reglerne blev ændret </w:t>
      </w:r>
      <w:r>
        <w:rPr>
          <w:rFonts w:cs="Times New Roman"/>
        </w:rPr>
        <w:lastRenderedPageBreak/>
        <w:t>og trådte i kraft den 20. november 2012.</w:t>
      </w:r>
    </w:p>
    <w:p w14:paraId="70A9CFF3" w14:textId="77777777" w:rsidR="0055162D" w:rsidRDefault="0055162D" w:rsidP="0055162D">
      <w:pPr>
        <w:pStyle w:val="Listeafsnit"/>
        <w:jc w:val="both"/>
        <w:rPr>
          <w:rFonts w:cs="Times New Roman"/>
        </w:rPr>
      </w:pPr>
    </w:p>
    <w:p w14:paraId="214617C0" w14:textId="77777777" w:rsidR="0055162D" w:rsidRDefault="00753709" w:rsidP="0055162D">
      <w:pPr>
        <w:pStyle w:val="Listeafsnit"/>
        <w:jc w:val="both"/>
        <w:rPr>
          <w:rFonts w:cs="Times New Roman"/>
        </w:rPr>
      </w:pPr>
      <w:r>
        <w:rPr>
          <w:rFonts w:cs="Times New Roman"/>
        </w:rPr>
        <w:t>Energiklagenævnet har ligeledes lagt vægt på, at bekendtgørelsens skriftlighedskrav, jf. nettoafregningsbekendtgørelsens § 21, stk. 2, ikke er opfyldt. De af klager fremlagte d</w:t>
      </w:r>
      <w:r w:rsidR="00BF795F">
        <w:rPr>
          <w:rFonts w:cs="Times New Roman"/>
        </w:rPr>
        <w:t>okumenter, herunder jobsedlen,</w:t>
      </w:r>
      <w:r>
        <w:rPr>
          <w:rFonts w:cs="Times New Roman"/>
        </w:rPr>
        <w:t xml:space="preserve"> tilmeldingsblanketten </w:t>
      </w:r>
      <w:r w:rsidR="00BF795F">
        <w:rPr>
          <w:rFonts w:cs="Times New Roman"/>
        </w:rPr>
        <w:t>og skemaet for beregning,</w:t>
      </w:r>
      <w:r w:rsidR="00543A5D">
        <w:rPr>
          <w:rFonts w:cs="Times New Roman"/>
        </w:rPr>
        <w:t xml:space="preserve"> dokumenterer således ikke, at klager har indgået en bindende aftale om køb af elproduktionsanlægget senest den 19. november 2012.</w:t>
      </w:r>
    </w:p>
    <w:p w14:paraId="79266711" w14:textId="77777777" w:rsidR="0055162D" w:rsidRDefault="0055162D" w:rsidP="0055162D">
      <w:pPr>
        <w:pStyle w:val="Listeafsnit"/>
        <w:jc w:val="both"/>
        <w:rPr>
          <w:rFonts w:cs="Times New Roman"/>
        </w:rPr>
      </w:pPr>
    </w:p>
    <w:p w14:paraId="639FCD80" w14:textId="016A7B22" w:rsidR="0055162D" w:rsidRDefault="00606057" w:rsidP="0055162D">
      <w:pPr>
        <w:pStyle w:val="Listeafsnit"/>
        <w:jc w:val="both"/>
        <w:rPr>
          <w:rFonts w:cs="Times New Roman"/>
        </w:rPr>
      </w:pPr>
      <w:r>
        <w:rPr>
          <w:rFonts w:cs="Times New Roman"/>
        </w:rPr>
        <w:t>Hverken j</w:t>
      </w:r>
      <w:r w:rsidR="00543A5D">
        <w:rPr>
          <w:rFonts w:cs="Times New Roman"/>
        </w:rPr>
        <w:t>obsedlen</w:t>
      </w:r>
      <w:r>
        <w:rPr>
          <w:rFonts w:cs="Times New Roman"/>
        </w:rPr>
        <w:t xml:space="preserve">, tilmeldingsblanketten eller </w:t>
      </w:r>
      <w:r w:rsidR="00BF795F">
        <w:rPr>
          <w:rFonts w:cs="Times New Roman"/>
        </w:rPr>
        <w:t xml:space="preserve">skemaet for beregning </w:t>
      </w:r>
      <w:r>
        <w:rPr>
          <w:rFonts w:cs="Times New Roman"/>
        </w:rPr>
        <w:t xml:space="preserve">vedrører køb af solcelleanlægget. Disse dokumenter kan således ikke lægges til grund som dokumentation for, at det omhandlede solcelleanlæg er købt inden </w:t>
      </w:r>
      <w:r w:rsidR="006C0194">
        <w:rPr>
          <w:rFonts w:cs="Times New Roman"/>
        </w:rPr>
        <w:t>d</w:t>
      </w:r>
      <w:r>
        <w:rPr>
          <w:rFonts w:cs="Times New Roman"/>
        </w:rPr>
        <w:t>en 19. november 2012.</w:t>
      </w:r>
    </w:p>
    <w:p w14:paraId="5E9C6EFC" w14:textId="77777777" w:rsidR="0055162D" w:rsidRDefault="0055162D" w:rsidP="0055162D">
      <w:pPr>
        <w:pStyle w:val="Listeafsnit"/>
        <w:jc w:val="both"/>
        <w:rPr>
          <w:rFonts w:cs="Times New Roman"/>
        </w:rPr>
      </w:pPr>
    </w:p>
    <w:p w14:paraId="2A8C44A1" w14:textId="60EB2BED" w:rsidR="00606057" w:rsidRDefault="00606057" w:rsidP="0055162D">
      <w:pPr>
        <w:pStyle w:val="Listeafsnit"/>
        <w:jc w:val="both"/>
        <w:rPr>
          <w:rFonts w:cs="Times New Roman"/>
        </w:rPr>
      </w:pPr>
      <w:r>
        <w:rPr>
          <w:rFonts w:cs="Times New Roman"/>
        </w:rPr>
        <w:t>For så vidt angår</w:t>
      </w:r>
      <w:r w:rsidR="00844570">
        <w:rPr>
          <w:rFonts w:cs="Times New Roman"/>
        </w:rPr>
        <w:t xml:space="preserve"> den fremsendte skrivelse af</w:t>
      </w:r>
      <w:r>
        <w:rPr>
          <w:rFonts w:cs="Times New Roman"/>
        </w:rPr>
        <w:t xml:space="preserve"> 25. oktober 2019, der bekræfter, at klager den 19. marts 2012 har indgået en bindende aftale o</w:t>
      </w:r>
      <w:r w:rsidR="001F284C">
        <w:rPr>
          <w:rFonts w:cs="Times New Roman"/>
        </w:rPr>
        <w:t>m</w:t>
      </w:r>
      <w:r>
        <w:rPr>
          <w:rFonts w:cs="Times New Roman"/>
        </w:rPr>
        <w:t xml:space="preserve"> køb af solceller til adressen </w:t>
      </w:r>
      <w:proofErr w:type="spellStart"/>
      <w:r>
        <w:rPr>
          <w:rFonts w:cs="Times New Roman"/>
        </w:rPr>
        <w:t>Sandskærvej</w:t>
      </w:r>
      <w:proofErr w:type="spellEnd"/>
      <w:r>
        <w:rPr>
          <w:rFonts w:cs="Times New Roman"/>
        </w:rPr>
        <w:t xml:space="preserve"> 282, 6200 Aabenraa</w:t>
      </w:r>
      <w:r w:rsidR="001F284C">
        <w:rPr>
          <w:rFonts w:cs="Times New Roman"/>
        </w:rPr>
        <w:t xml:space="preserve">, bemærker Energiklagenævnet, at der er tale om en erklæring, som er udarbejdet </w:t>
      </w:r>
      <w:r w:rsidR="00BF795F">
        <w:rPr>
          <w:rFonts w:cs="Times New Roman"/>
        </w:rPr>
        <w:t xml:space="preserve">efter den 19. november 2012 </w:t>
      </w:r>
      <w:r w:rsidR="001F284C">
        <w:rPr>
          <w:rFonts w:cs="Times New Roman"/>
        </w:rPr>
        <w:t>om en forudgående købsaftales gyldighed. Energiklagenævnet har i tidligere afgørelser taget stilling til, at sådanne erklæringer ikke kan tillægges bevismæssig betydning, jf. blandt andet afgørelsen af 23</w:t>
      </w:r>
      <w:r w:rsidR="001364D3">
        <w:rPr>
          <w:rFonts w:cs="Times New Roman"/>
        </w:rPr>
        <w:t>.</w:t>
      </w:r>
      <w:r w:rsidR="001F284C">
        <w:rPr>
          <w:rFonts w:cs="Times New Roman"/>
        </w:rPr>
        <w:t xml:space="preserve"> marts 2015 med journalnummer 1011-14-143.</w:t>
      </w:r>
      <w:r w:rsidR="001F284C">
        <w:rPr>
          <w:rStyle w:val="Fodnotehenvisning"/>
          <w:rFonts w:cs="Times New Roman"/>
        </w:rPr>
        <w:footnoteReference w:id="2"/>
      </w:r>
    </w:p>
    <w:p w14:paraId="39010C99" w14:textId="3DBB1C7D" w:rsidR="00B37039" w:rsidRDefault="00B37039" w:rsidP="0055162D">
      <w:pPr>
        <w:pStyle w:val="Listeafsnit"/>
        <w:jc w:val="both"/>
        <w:rPr>
          <w:rFonts w:cs="Times New Roman"/>
        </w:rPr>
      </w:pPr>
    </w:p>
    <w:p w14:paraId="4E40C1D9" w14:textId="036DDF7A" w:rsidR="00B37039" w:rsidRDefault="00B37039" w:rsidP="0055162D">
      <w:pPr>
        <w:pStyle w:val="Listeafsnit"/>
        <w:jc w:val="both"/>
        <w:rPr>
          <w:rFonts w:cs="Times New Roman"/>
        </w:rPr>
      </w:pPr>
      <w:r>
        <w:rPr>
          <w:rFonts w:cs="Times New Roman"/>
        </w:rPr>
        <w:t>Energiklagenævnet finder efter en konkret vurdering, at erklæringen ikke kan tillægges bevismæssig betydning</w:t>
      </w:r>
      <w:r w:rsidR="00481BFD">
        <w:rPr>
          <w:rFonts w:cs="Times New Roman"/>
        </w:rPr>
        <w:t xml:space="preserve"> som tilstrækkelig dokumentation for indgåelse af en bindende aftale om køb</w:t>
      </w:r>
      <w:r>
        <w:rPr>
          <w:rFonts w:cs="Times New Roman"/>
        </w:rPr>
        <w:t>. Energiklagenævnet kan herefter ikke give klager medhold.</w:t>
      </w:r>
    </w:p>
    <w:p w14:paraId="64D6DECD" w14:textId="77777777" w:rsidR="007F0C82" w:rsidRPr="00916898" w:rsidRDefault="007F0C82" w:rsidP="00E221D4">
      <w:pPr>
        <w:pStyle w:val="Listeafsnit"/>
        <w:jc w:val="both"/>
        <w:rPr>
          <w:rFonts w:cs="Times New Roman"/>
        </w:rPr>
      </w:pPr>
    </w:p>
    <w:p w14:paraId="7DE496CD" w14:textId="0C899B1D" w:rsidR="0055162D" w:rsidRDefault="007F0C82" w:rsidP="00E221D4">
      <w:pPr>
        <w:pStyle w:val="Listeafsnit"/>
        <w:numPr>
          <w:ilvl w:val="0"/>
          <w:numId w:val="1"/>
        </w:numPr>
        <w:ind w:left="0"/>
        <w:jc w:val="both"/>
        <w:rPr>
          <w:rFonts w:cs="Times New Roman"/>
        </w:rPr>
      </w:pPr>
      <w:r w:rsidRPr="00916898">
        <w:rPr>
          <w:rFonts w:cs="Times New Roman"/>
          <w:b/>
        </w:rPr>
        <w:t>Energiklagenævnets afgørelse</w:t>
      </w:r>
    </w:p>
    <w:p w14:paraId="4597D3F8" w14:textId="77777777" w:rsidR="0055162D" w:rsidRDefault="001F284C" w:rsidP="00E221D4">
      <w:pPr>
        <w:pStyle w:val="Listeafsnit"/>
        <w:jc w:val="both"/>
        <w:rPr>
          <w:rFonts w:cs="Times New Roman"/>
        </w:rPr>
      </w:pPr>
      <w:r>
        <w:t>Energiklagenævnet stadfæster Energistyrelsens afgørelse.</w:t>
      </w:r>
    </w:p>
    <w:p w14:paraId="65FB017D" w14:textId="77777777" w:rsidR="0055162D" w:rsidRDefault="0055162D" w:rsidP="00E221D4">
      <w:pPr>
        <w:pStyle w:val="Listeafsnit"/>
        <w:jc w:val="both"/>
        <w:rPr>
          <w:rFonts w:cs="Times New Roman"/>
        </w:rPr>
      </w:pPr>
    </w:p>
    <w:p w14:paraId="02792D1A" w14:textId="7A45CAB8" w:rsidR="001F284C" w:rsidRDefault="001F284C" w:rsidP="00E221D4">
      <w:pPr>
        <w:pStyle w:val="Listeafsnit"/>
        <w:jc w:val="both"/>
      </w:pPr>
      <w:r>
        <w:t>Afgøre</w:t>
      </w:r>
      <w:r w:rsidR="00A54E37">
        <w:t>l</w:t>
      </w:r>
      <w:r>
        <w:t>sen er truffet i henhold til § 21, stk. 5, i bekendtgørelse nr. 999 af 29. juni 2016 om nettoafregning for egenproducenter af elektricitet, jf. elforsyningslovens</w:t>
      </w:r>
      <w:r>
        <w:rPr>
          <w:rStyle w:val="Fodnotehenvisning"/>
        </w:rPr>
        <w:footnoteReference w:id="3"/>
      </w:r>
      <w:r>
        <w:t xml:space="preserve"> § 89, stk. 1.</w:t>
      </w:r>
    </w:p>
    <w:p w14:paraId="627EE6A8" w14:textId="0C503E0B" w:rsidR="00555C76" w:rsidRDefault="00555C76" w:rsidP="00E221D4">
      <w:pPr>
        <w:pStyle w:val="Listeafsnit"/>
        <w:jc w:val="both"/>
      </w:pPr>
    </w:p>
    <w:p w14:paraId="7D68EF0E" w14:textId="1565E771" w:rsidR="00555C76" w:rsidRPr="0055162D" w:rsidRDefault="00555C76" w:rsidP="00E221D4">
      <w:pPr>
        <w:pStyle w:val="Listeafsnit"/>
        <w:jc w:val="both"/>
        <w:rPr>
          <w:rFonts w:cs="Times New Roman"/>
        </w:rPr>
      </w:pPr>
      <w:r>
        <w:rPr>
          <w:sz w:val="23"/>
          <w:szCs w:val="23"/>
        </w:rPr>
        <w:t>Afgørelsen er truffet af Energiklagenævnets formand, jf. Energiklagenævnets formandsbemyndigelse af 26. april 2019 efter lov om elforsyning, punkt 1, jf. elforsyningslovens § 89, stk. 6.</w:t>
      </w:r>
    </w:p>
    <w:p w14:paraId="2CAA848E" w14:textId="7E1EFFDF" w:rsidR="00E8291A" w:rsidRDefault="00E8291A" w:rsidP="00E221D4">
      <w:pPr>
        <w:pStyle w:val="Listeafsnit"/>
        <w:jc w:val="both"/>
      </w:pPr>
    </w:p>
    <w:p w14:paraId="064AF963" w14:textId="157D620B" w:rsidR="00E8291A" w:rsidRDefault="00E8291A" w:rsidP="00E221D4">
      <w:pPr>
        <w:pStyle w:val="Listeafsnit"/>
        <w:jc w:val="both"/>
      </w:pPr>
      <w:r>
        <w:t>Afgørelsen kan ikke indbringes for anden administrativ myndighed.</w:t>
      </w:r>
    </w:p>
    <w:p w14:paraId="0626EC6F" w14:textId="557E7E95" w:rsidR="00E8291A" w:rsidRDefault="00E8291A" w:rsidP="00E221D4">
      <w:pPr>
        <w:pStyle w:val="Listeafsnit"/>
        <w:jc w:val="both"/>
      </w:pPr>
    </w:p>
    <w:p w14:paraId="70CB0DAA" w14:textId="6FF40448" w:rsidR="00E8291A" w:rsidRDefault="00E8291A" w:rsidP="00E221D4">
      <w:pPr>
        <w:pStyle w:val="Listeafsnit"/>
        <w:jc w:val="both"/>
      </w:pPr>
      <w:r>
        <w:t>Søgsmål til prøvelse af afgørelser truffet af Energiklagenævnet efter elforsyningslovens eller regler, der udstedes efter loven, skal være anlagt inden 6 måneder efter, at afgørelsen er meddelt den pågældende, jf. elforsyningslovens § 89, stk. 7.</w:t>
      </w:r>
    </w:p>
    <w:p w14:paraId="64D6DED0" w14:textId="00B07D02" w:rsidR="007F0C82" w:rsidRDefault="007F0C82" w:rsidP="00E221D4">
      <w:pPr>
        <w:pStyle w:val="Listeafsnit"/>
        <w:jc w:val="both"/>
      </w:pPr>
    </w:p>
    <w:p w14:paraId="64D6DED1" w14:textId="14A2DA4E" w:rsidR="007F0C82" w:rsidRDefault="007F0C82" w:rsidP="00E221D4">
      <w:pPr>
        <w:pStyle w:val="Listeafsnit"/>
        <w:jc w:val="both"/>
      </w:pPr>
      <w:r>
        <w:lastRenderedPageBreak/>
        <w:t>Afgørel</w:t>
      </w:r>
      <w:bookmarkStart w:id="0" w:name="_GoBack"/>
      <w:bookmarkEnd w:id="0"/>
      <w:r>
        <w:t xml:space="preserve">sen offentliggøres i anonymiseret form på hjemmesiden </w:t>
      </w:r>
      <w:hyperlink r:id="rId10" w:history="1">
        <w:r>
          <w:rPr>
            <w:rStyle w:val="Hyperlink"/>
          </w:rPr>
          <w:t>www.naevneneshus.dk</w:t>
        </w:r>
      </w:hyperlink>
      <w:r>
        <w:t xml:space="preserve"> under menupunktet Nævnene &gt; Energiklagenævnet &gt; Tidligere afgørelser.</w:t>
      </w:r>
    </w:p>
    <w:p w14:paraId="469DA4DF" w14:textId="28CAE43E" w:rsidR="0086280A" w:rsidRDefault="0086280A" w:rsidP="00E221D4">
      <w:pPr>
        <w:pStyle w:val="Listeafsnit"/>
        <w:jc w:val="both"/>
      </w:pPr>
    </w:p>
    <w:p w14:paraId="0AA2E137" w14:textId="77777777" w:rsidR="0086280A" w:rsidRPr="00916898" w:rsidRDefault="0086280A" w:rsidP="00E221D4">
      <w:pPr>
        <w:pStyle w:val="Listeafsnit"/>
        <w:jc w:val="both"/>
        <w:rPr>
          <w:rFonts w:cs="Times New Roman"/>
        </w:rPr>
      </w:pPr>
    </w:p>
    <w:p w14:paraId="7BD0BBC7" w14:textId="6D676D29" w:rsidR="0086280A" w:rsidRDefault="0086280A" w:rsidP="0086280A">
      <w:pPr>
        <w:jc w:val="center"/>
        <w:rPr>
          <w:rFonts w:cs="Times New Roman"/>
        </w:rPr>
      </w:pPr>
      <w:r>
        <w:rPr>
          <w:rFonts w:cs="Times New Roman"/>
        </w:rPr>
        <w:t>På nævnets vegne</w:t>
      </w:r>
    </w:p>
    <w:p w14:paraId="2C4765D0" w14:textId="33D3A958" w:rsidR="0086280A" w:rsidRDefault="0086280A" w:rsidP="0086280A">
      <w:pPr>
        <w:jc w:val="center"/>
        <w:rPr>
          <w:rFonts w:cs="Times New Roman"/>
        </w:rPr>
      </w:pPr>
    </w:p>
    <w:p w14:paraId="5A145ABA" w14:textId="77777777" w:rsidR="0086280A" w:rsidRDefault="0086280A" w:rsidP="0086280A">
      <w:pPr>
        <w:jc w:val="center"/>
        <w:rPr>
          <w:rFonts w:cs="Times New Roman"/>
        </w:rPr>
      </w:pPr>
    </w:p>
    <w:p w14:paraId="4A19B607" w14:textId="77777777" w:rsidR="0086280A" w:rsidRDefault="0086280A" w:rsidP="0086280A">
      <w:pPr>
        <w:jc w:val="center"/>
        <w:rPr>
          <w:rFonts w:cs="Times New Roman"/>
        </w:rPr>
      </w:pPr>
    </w:p>
    <w:p w14:paraId="5768FFBC" w14:textId="77777777" w:rsidR="0086280A" w:rsidRDefault="0086280A" w:rsidP="0086280A">
      <w:pPr>
        <w:jc w:val="center"/>
        <w:rPr>
          <w:rFonts w:cs="Times New Roman"/>
        </w:rPr>
      </w:pPr>
      <w:r>
        <w:rPr>
          <w:rFonts w:cs="Times New Roman"/>
        </w:rPr>
        <w:t>Peter Ulrik Urskov</w:t>
      </w:r>
    </w:p>
    <w:p w14:paraId="7227BD4A" w14:textId="77777777" w:rsidR="0086280A" w:rsidRDefault="0086280A" w:rsidP="0086280A">
      <w:pPr>
        <w:jc w:val="center"/>
        <w:rPr>
          <w:rFonts w:cs="Times New Roman"/>
        </w:rPr>
      </w:pPr>
      <w:r>
        <w:rPr>
          <w:rFonts w:cs="Times New Roman"/>
        </w:rPr>
        <w:t xml:space="preserve">Nævnsformand </w:t>
      </w:r>
    </w:p>
    <w:p w14:paraId="7995B298" w14:textId="59E96F87" w:rsidR="0086280A" w:rsidRDefault="0086280A" w:rsidP="0086280A">
      <w:pPr>
        <w:jc w:val="center"/>
        <w:rPr>
          <w:rFonts w:cs="Times New Roman"/>
        </w:rPr>
      </w:pPr>
    </w:p>
    <w:p w14:paraId="7EF17504" w14:textId="19741052" w:rsidR="0086280A" w:rsidRDefault="0086280A" w:rsidP="0086280A">
      <w:pPr>
        <w:rPr>
          <w:rFonts w:cs="Times New Roman"/>
        </w:rPr>
      </w:pPr>
      <w:r>
        <w:rPr>
          <w:rFonts w:cs="Times New Roman"/>
        </w:rPr>
        <w:tab/>
      </w:r>
    </w:p>
    <w:p w14:paraId="102307C7" w14:textId="77777777" w:rsidR="0086280A" w:rsidRDefault="0086280A" w:rsidP="0086280A">
      <w:pPr>
        <w:rPr>
          <w:rFonts w:cs="Times New Roman"/>
        </w:rPr>
      </w:pPr>
      <w:r>
        <w:rPr>
          <w:rFonts w:cs="Times New Roman"/>
        </w:rPr>
        <w:t>Lotte Rud Jensen</w:t>
      </w:r>
    </w:p>
    <w:p w14:paraId="2AEE115F" w14:textId="77777777" w:rsidR="0086280A" w:rsidRDefault="0086280A" w:rsidP="0086280A">
      <w:pPr>
        <w:rPr>
          <w:rFonts w:cs="Times New Roman"/>
        </w:rPr>
      </w:pPr>
      <w:r>
        <w:rPr>
          <w:rFonts w:cs="Times New Roman"/>
        </w:rPr>
        <w:t>Fuldmægtig, cand. jur.</w:t>
      </w:r>
    </w:p>
    <w:p w14:paraId="64D6DED2" w14:textId="77777777" w:rsidR="007F0C82" w:rsidRDefault="007F0C82" w:rsidP="007F0C82">
      <w:pPr>
        <w:jc w:val="center"/>
        <w:rPr>
          <w:rFonts w:cs="Times New Roman"/>
        </w:rPr>
      </w:pPr>
    </w:p>
    <w:p w14:paraId="64D6DED3" w14:textId="77777777" w:rsidR="007F0C82" w:rsidRDefault="007F0C82" w:rsidP="007F0C82">
      <w:pPr>
        <w:jc w:val="center"/>
        <w:rPr>
          <w:rFonts w:cs="Times New Roman"/>
        </w:rPr>
      </w:pPr>
    </w:p>
    <w:p w14:paraId="64D6DEE0" w14:textId="77777777" w:rsidR="007F0C82" w:rsidRDefault="007F0C82" w:rsidP="007F0C82">
      <w:pPr>
        <w:jc w:val="both"/>
        <w:rPr>
          <w:rFonts w:cs="Times New Roman"/>
        </w:rPr>
      </w:pPr>
    </w:p>
    <w:p w14:paraId="64D6DEE1" w14:textId="77777777" w:rsidR="007F0C82" w:rsidRDefault="007F0C82" w:rsidP="007F0C82">
      <w:pPr>
        <w:ind w:right="26"/>
        <w:rPr>
          <w:rFonts w:cs="Times New Roman"/>
          <w:szCs w:val="24"/>
        </w:rPr>
      </w:pPr>
      <w:r>
        <w:rPr>
          <w:rFonts w:cs="Times New Roman"/>
          <w:szCs w:val="24"/>
        </w:rPr>
        <w:t>Afgørelsen er sendt til:</w:t>
      </w:r>
    </w:p>
    <w:p w14:paraId="64D6DEE2" w14:textId="77777777" w:rsidR="007F0C82" w:rsidRDefault="007F0C82" w:rsidP="007F0C82">
      <w:pPr>
        <w:ind w:right="26"/>
        <w:rPr>
          <w:rFonts w:cs="Times New Roman"/>
          <w:szCs w:val="24"/>
        </w:rPr>
      </w:pPr>
    </w:p>
    <w:p w14:paraId="3EC8DF16" w14:textId="4E470C09" w:rsidR="004F6586" w:rsidRDefault="004F6586" w:rsidP="007F0C82">
      <w:pPr>
        <w:rPr>
          <w:rFonts w:cs="Times New Roman"/>
          <w:szCs w:val="24"/>
        </w:rPr>
      </w:pPr>
      <w:r w:rsidRPr="00822CFC">
        <w:rPr>
          <w:rFonts w:cs="Times New Roman"/>
          <w:szCs w:val="24"/>
        </w:rPr>
        <w:t>[XXX]</w:t>
      </w:r>
    </w:p>
    <w:p w14:paraId="182EC237" w14:textId="1ADA2BA3" w:rsidR="00E8291A" w:rsidRPr="00810660" w:rsidRDefault="00E8291A" w:rsidP="007F0C82">
      <w:pPr>
        <w:rPr>
          <w:rFonts w:cs="Times New Roman"/>
        </w:rPr>
      </w:pPr>
      <w:r>
        <w:rPr>
          <w:rFonts w:cs="Times New Roman"/>
          <w:color w:val="000000" w:themeColor="text1"/>
          <w:szCs w:val="24"/>
        </w:rPr>
        <w:t>Energistyrelsen</w:t>
      </w:r>
    </w:p>
    <w:p w14:paraId="64D6DEE8" w14:textId="77777777" w:rsidR="007F0C82" w:rsidRPr="00810660" w:rsidRDefault="007F0C82" w:rsidP="007F0C82">
      <w:pPr>
        <w:rPr>
          <w:rFonts w:cs="Times New Roman"/>
        </w:rPr>
      </w:pPr>
    </w:p>
    <w:p w14:paraId="64D6DEE9" w14:textId="16A58705" w:rsidR="007F0C82" w:rsidRDefault="007F0C82" w:rsidP="007F0C82">
      <w:pPr>
        <w:rPr>
          <w:rFonts w:cs="Times New Roman"/>
        </w:rPr>
      </w:pPr>
    </w:p>
    <w:p w14:paraId="673984CF" w14:textId="24A8E9AB" w:rsidR="004F6586" w:rsidRDefault="004F6586" w:rsidP="007F0C82">
      <w:pPr>
        <w:rPr>
          <w:rFonts w:cs="Times New Roman"/>
        </w:rPr>
      </w:pPr>
    </w:p>
    <w:p w14:paraId="7F19113F" w14:textId="7FB78CB4" w:rsidR="004F6586" w:rsidRDefault="004F6586" w:rsidP="007F0C82">
      <w:pPr>
        <w:rPr>
          <w:rFonts w:cs="Times New Roman"/>
        </w:rPr>
      </w:pPr>
    </w:p>
    <w:p w14:paraId="3F9DC81B" w14:textId="2312913F" w:rsidR="004F6586" w:rsidRDefault="004F6586" w:rsidP="007F0C82">
      <w:pPr>
        <w:rPr>
          <w:rFonts w:cs="Times New Roman"/>
        </w:rPr>
      </w:pPr>
    </w:p>
    <w:p w14:paraId="1A5AE4C6" w14:textId="2C072CF7" w:rsidR="004F6586" w:rsidRDefault="004F6586" w:rsidP="007F0C82">
      <w:pPr>
        <w:rPr>
          <w:rFonts w:cs="Times New Roman"/>
        </w:rPr>
      </w:pPr>
    </w:p>
    <w:p w14:paraId="2A54B994" w14:textId="0F601EF0" w:rsidR="004F6586" w:rsidRDefault="004F6586" w:rsidP="007F0C82">
      <w:pPr>
        <w:rPr>
          <w:rFonts w:cs="Times New Roman"/>
        </w:rPr>
      </w:pPr>
    </w:p>
    <w:p w14:paraId="758F8B31" w14:textId="1EDBC4DF" w:rsidR="004F6586" w:rsidRDefault="004F6586" w:rsidP="007F0C82">
      <w:pPr>
        <w:rPr>
          <w:rFonts w:cs="Times New Roman"/>
        </w:rPr>
      </w:pPr>
    </w:p>
    <w:p w14:paraId="701C7268" w14:textId="0E5DDFFE" w:rsidR="004F6586" w:rsidRDefault="004F6586" w:rsidP="007F0C82">
      <w:pPr>
        <w:rPr>
          <w:rFonts w:cs="Times New Roman"/>
        </w:rPr>
      </w:pPr>
    </w:p>
    <w:p w14:paraId="4266CF71" w14:textId="7D30F66B" w:rsidR="004F6586" w:rsidRDefault="004F6586" w:rsidP="007F0C82">
      <w:pPr>
        <w:rPr>
          <w:rFonts w:cs="Times New Roman"/>
        </w:rPr>
      </w:pPr>
    </w:p>
    <w:p w14:paraId="5A6A54F1" w14:textId="77777777" w:rsidR="004F6586" w:rsidRPr="00810660" w:rsidRDefault="004F6586" w:rsidP="007F0C82">
      <w:pPr>
        <w:rPr>
          <w:rFonts w:cs="Times New Roman"/>
        </w:rPr>
      </w:pPr>
    </w:p>
    <w:p w14:paraId="64D6DEEA" w14:textId="77777777" w:rsidR="007F0C82" w:rsidRPr="00810660" w:rsidRDefault="007F0C82" w:rsidP="007F0C82">
      <w:pPr>
        <w:rPr>
          <w:rFonts w:cs="Times New Roman"/>
        </w:rPr>
      </w:pPr>
    </w:p>
    <w:p w14:paraId="64D6DEEB" w14:textId="77777777" w:rsidR="007F0C82" w:rsidRPr="00810660" w:rsidRDefault="007F0C82" w:rsidP="007F0C82">
      <w:pPr>
        <w:rPr>
          <w:rFonts w:cs="Times New Roman"/>
          <w:u w:val="single"/>
        </w:rPr>
      </w:pPr>
    </w:p>
    <w:p w14:paraId="64D6DEEC" w14:textId="77777777" w:rsidR="007F0C82" w:rsidRPr="00810660" w:rsidRDefault="007F0C82" w:rsidP="007F0C82">
      <w:pPr>
        <w:rPr>
          <w:rFonts w:cs="Times New Roman"/>
          <w:u w:val="single"/>
        </w:rPr>
      </w:pPr>
    </w:p>
    <w:p w14:paraId="64D6DEED" w14:textId="77777777" w:rsidR="007F0C82" w:rsidRPr="00810660" w:rsidRDefault="007F0C82" w:rsidP="007F0C82">
      <w:pPr>
        <w:rPr>
          <w:rFonts w:cs="Times New Roman"/>
          <w:u w:val="single"/>
        </w:rPr>
      </w:pPr>
    </w:p>
    <w:p w14:paraId="64D6DEEE" w14:textId="77777777" w:rsidR="007F0C82" w:rsidRPr="00810660" w:rsidRDefault="007F0C82" w:rsidP="007F0C82">
      <w:pPr>
        <w:rPr>
          <w:rFonts w:cs="Times New Roman"/>
          <w:u w:val="single"/>
        </w:rPr>
      </w:pPr>
    </w:p>
    <w:p w14:paraId="64D6DEEF" w14:textId="77777777" w:rsidR="007F0C82" w:rsidRPr="00810660" w:rsidRDefault="007F0C82" w:rsidP="007F0C82">
      <w:pPr>
        <w:rPr>
          <w:rFonts w:cs="Times New Roman"/>
          <w:u w:val="single"/>
        </w:rPr>
      </w:pPr>
    </w:p>
    <w:p w14:paraId="64D6DEF0" w14:textId="77777777" w:rsidR="007F0C82" w:rsidRPr="00810660" w:rsidRDefault="007F0C82" w:rsidP="007F0C82">
      <w:pPr>
        <w:rPr>
          <w:rFonts w:cs="Times New Roman"/>
          <w:u w:val="single"/>
        </w:rPr>
      </w:pPr>
    </w:p>
    <w:p w14:paraId="64D6DEF1" w14:textId="77777777" w:rsidR="007F0C82" w:rsidRPr="00810660" w:rsidRDefault="007F0C82" w:rsidP="007F0C82">
      <w:pPr>
        <w:rPr>
          <w:rFonts w:cs="Times New Roman"/>
          <w:u w:val="single"/>
        </w:rPr>
      </w:pPr>
    </w:p>
    <w:p w14:paraId="64D6DEF2" w14:textId="77777777" w:rsidR="007F0C82" w:rsidRPr="00810660" w:rsidRDefault="007F0C82" w:rsidP="007F0C82">
      <w:pPr>
        <w:rPr>
          <w:rFonts w:cs="Times New Roman"/>
          <w:u w:val="single"/>
        </w:rPr>
      </w:pPr>
    </w:p>
    <w:p w14:paraId="64D6DEF3" w14:textId="77777777" w:rsidR="007F0C82" w:rsidRPr="00810660" w:rsidRDefault="007F0C82" w:rsidP="007F0C82">
      <w:pPr>
        <w:rPr>
          <w:rFonts w:cs="Times New Roman"/>
          <w:u w:val="single"/>
        </w:rPr>
      </w:pPr>
    </w:p>
    <w:p w14:paraId="64D6DEF4" w14:textId="77777777" w:rsidR="007F0C82" w:rsidRPr="00810660" w:rsidRDefault="007F0C82" w:rsidP="007F0C82">
      <w:pPr>
        <w:rPr>
          <w:rFonts w:cs="Times New Roman"/>
          <w:u w:val="single"/>
        </w:rPr>
      </w:pPr>
    </w:p>
    <w:p w14:paraId="64D6DEF5" w14:textId="77777777" w:rsidR="00FF18F7" w:rsidRPr="00810660" w:rsidRDefault="00FF18F7" w:rsidP="007F0C82">
      <w:pPr>
        <w:rPr>
          <w:rFonts w:cs="Times New Roman"/>
          <w:u w:val="single"/>
        </w:rPr>
      </w:pPr>
    </w:p>
    <w:p w14:paraId="64D6DEF6" w14:textId="1067CA93" w:rsidR="00D95A15" w:rsidRPr="00810660" w:rsidRDefault="00D95A15" w:rsidP="007F0C82">
      <w:pPr>
        <w:rPr>
          <w:rFonts w:cs="Times New Roman"/>
          <w:u w:val="single"/>
        </w:rPr>
      </w:pPr>
    </w:p>
    <w:p w14:paraId="78D32245" w14:textId="17BF30F0" w:rsidR="00E8291A" w:rsidRPr="00810660" w:rsidRDefault="00E8291A" w:rsidP="007F0C82">
      <w:pPr>
        <w:rPr>
          <w:rFonts w:cs="Times New Roman"/>
          <w:u w:val="single"/>
        </w:rPr>
      </w:pPr>
    </w:p>
    <w:p w14:paraId="1CC52C46" w14:textId="1300C64A" w:rsidR="00E8291A" w:rsidRPr="00810660" w:rsidRDefault="00E8291A" w:rsidP="007F0C82">
      <w:pPr>
        <w:rPr>
          <w:rFonts w:cs="Times New Roman"/>
          <w:u w:val="single"/>
        </w:rPr>
      </w:pPr>
    </w:p>
    <w:p w14:paraId="1FC3D356" w14:textId="0088AF8E" w:rsidR="00E8291A" w:rsidRPr="00810660" w:rsidRDefault="00E8291A" w:rsidP="007F0C82">
      <w:pPr>
        <w:rPr>
          <w:rFonts w:cs="Times New Roman"/>
          <w:u w:val="single"/>
        </w:rPr>
      </w:pPr>
    </w:p>
    <w:p w14:paraId="64D6DEFA" w14:textId="77777777" w:rsidR="007F0C82" w:rsidRPr="00810660" w:rsidRDefault="007F0C82" w:rsidP="007105DD">
      <w:pPr>
        <w:rPr>
          <w:rFonts w:cs="Times New Roman"/>
        </w:rPr>
      </w:pPr>
    </w:p>
    <w:p w14:paraId="57DBEAF5" w14:textId="77777777" w:rsidR="00031BAB" w:rsidRPr="0082626E" w:rsidRDefault="00031BAB" w:rsidP="00031BAB">
      <w:pPr>
        <w:jc w:val="both"/>
        <w:rPr>
          <w:rFonts w:cs="Times New Roman"/>
        </w:rPr>
      </w:pPr>
      <w:r w:rsidRPr="0082626E">
        <w:rPr>
          <w:rFonts w:cs="Times New Roman"/>
          <w:u w:val="single"/>
        </w:rPr>
        <w:lastRenderedPageBreak/>
        <w:t>Bilag</w:t>
      </w:r>
    </w:p>
    <w:p w14:paraId="2AD19BB0" w14:textId="77777777" w:rsidR="00031BAB" w:rsidRPr="0082626E" w:rsidRDefault="00031BAB" w:rsidP="00031BAB">
      <w:pPr>
        <w:jc w:val="both"/>
        <w:rPr>
          <w:rFonts w:cs="Times New Roman"/>
        </w:rPr>
      </w:pPr>
    </w:p>
    <w:p w14:paraId="464E6AE1" w14:textId="77777777" w:rsidR="00031BAB" w:rsidRPr="008F00F3" w:rsidRDefault="00031BAB" w:rsidP="00031BAB">
      <w:pPr>
        <w:jc w:val="both"/>
        <w:rPr>
          <w:rFonts w:cs="Times New Roman"/>
          <w:i/>
        </w:rPr>
      </w:pPr>
      <w:r w:rsidRPr="008F00F3">
        <w:rPr>
          <w:rFonts w:cs="Times New Roman"/>
          <w:i/>
        </w:rPr>
        <w:t>Uddrag af bekendtgørelse nr. 999 af 29. juni 2016 om nettoafregning for egenproducenter af elektricitet:</w:t>
      </w:r>
    </w:p>
    <w:p w14:paraId="49671F91" w14:textId="77777777" w:rsidR="00031BAB" w:rsidRDefault="00031BAB" w:rsidP="00031BAB">
      <w:pPr>
        <w:jc w:val="both"/>
        <w:rPr>
          <w:rFonts w:cs="Times New Roman"/>
        </w:rPr>
      </w:pPr>
    </w:p>
    <w:p w14:paraId="1432D1C0" w14:textId="77777777" w:rsidR="00031BAB" w:rsidRDefault="00031BAB" w:rsidP="00031BAB">
      <w:pPr>
        <w:jc w:val="both"/>
        <w:rPr>
          <w:rFonts w:cs="Times New Roman"/>
        </w:rPr>
      </w:pPr>
      <w:r>
        <w:rPr>
          <w:rFonts w:cs="Times New Roman"/>
        </w:rPr>
        <w:t>”[…]</w:t>
      </w:r>
    </w:p>
    <w:p w14:paraId="7CA55E94" w14:textId="77777777" w:rsidR="00031BAB" w:rsidRDefault="00031BAB" w:rsidP="00031BAB">
      <w:pPr>
        <w:jc w:val="both"/>
        <w:rPr>
          <w:rFonts w:cs="Times New Roman"/>
        </w:rPr>
      </w:pPr>
      <w:r w:rsidRPr="008F00F3">
        <w:rPr>
          <w:rFonts w:cs="Times New Roman"/>
          <w:b/>
        </w:rPr>
        <w:t xml:space="preserve">§ 20. </w:t>
      </w:r>
      <w:r w:rsidRPr="008F00F3">
        <w:rPr>
          <w:rFonts w:cs="Times New Roman"/>
        </w:rPr>
        <w:t>Egenproducenter af elektricitet fra elproduktionsanlæg, som er nettilsluttet inden den 20. november 2012, kan fortsat efter uden tilsagn få nettoafregning betinget af, at elproducenten opfylder betingelserne i § 5, stk. 2, i bekendtgørelse nr. 804 af 28. juni 2010 om nettoafregning for egenproducenter af elektricitet.</w:t>
      </w:r>
    </w:p>
    <w:p w14:paraId="6F2A5DEE" w14:textId="77777777" w:rsidR="00031BAB" w:rsidRDefault="00031BAB" w:rsidP="00031BAB">
      <w:pPr>
        <w:jc w:val="both"/>
        <w:rPr>
          <w:rFonts w:cs="Times New Roman"/>
        </w:rPr>
      </w:pPr>
    </w:p>
    <w:p w14:paraId="47627191" w14:textId="77777777" w:rsidR="00031BAB" w:rsidRDefault="00031BAB" w:rsidP="00031BAB">
      <w:pPr>
        <w:jc w:val="both"/>
        <w:rPr>
          <w:rFonts w:cs="Times New Roman"/>
        </w:rPr>
      </w:pPr>
      <w:r>
        <w:rPr>
          <w:rFonts w:cs="Times New Roman"/>
        </w:rPr>
        <w:t>…</w:t>
      </w:r>
    </w:p>
    <w:p w14:paraId="26AB9621" w14:textId="77777777" w:rsidR="00031BAB" w:rsidRDefault="00031BAB" w:rsidP="00031BAB">
      <w:pPr>
        <w:jc w:val="both"/>
        <w:rPr>
          <w:rFonts w:cs="Times New Roman"/>
        </w:rPr>
      </w:pPr>
    </w:p>
    <w:p w14:paraId="1FAB2A49" w14:textId="77777777" w:rsidR="00031BAB" w:rsidRPr="008F00F3" w:rsidRDefault="00031BAB" w:rsidP="00031BAB">
      <w:pPr>
        <w:jc w:val="both"/>
        <w:rPr>
          <w:rFonts w:cs="Times New Roman"/>
        </w:rPr>
      </w:pPr>
      <w:r w:rsidRPr="008F00F3">
        <w:rPr>
          <w:rFonts w:cs="Times New Roman"/>
          <w:b/>
        </w:rPr>
        <w:t xml:space="preserve">§ 21. </w:t>
      </w:r>
      <w:r w:rsidRPr="008F00F3">
        <w:rPr>
          <w:rFonts w:cs="Times New Roman"/>
        </w:rPr>
        <w:t>Endvidere kan en ejer af et elproduktionsanlæg ved anmodning til Energinet.dk få nettoafregning på årsbasis efter § 5 i bekendtgørelse nr. 804 af 28. juni 2010 om nettoafregning for egenproducenter af elektricitet frem til og med den 19. november 2032 på betingelse af</w:t>
      </w:r>
    </w:p>
    <w:p w14:paraId="0481F223" w14:textId="77777777" w:rsidR="00031BAB" w:rsidRPr="008F00F3" w:rsidRDefault="00031BAB" w:rsidP="00031BAB">
      <w:pPr>
        <w:jc w:val="both"/>
        <w:rPr>
          <w:rFonts w:cs="Times New Roman"/>
        </w:rPr>
      </w:pPr>
    </w:p>
    <w:p w14:paraId="0832E45D" w14:textId="77777777" w:rsidR="00031BAB" w:rsidRPr="008F00F3" w:rsidRDefault="00031BAB" w:rsidP="00031BAB">
      <w:pPr>
        <w:jc w:val="both"/>
        <w:rPr>
          <w:rFonts w:cs="Times New Roman"/>
        </w:rPr>
      </w:pPr>
      <w:r w:rsidRPr="008F00F3">
        <w:rPr>
          <w:rFonts w:cs="Times New Roman"/>
        </w:rPr>
        <w:t>1) at ejeren opfylder betingelserne efter § 5, stk. 2, i bekendtgørelse nr. 804 af 28. juni 2010 om nettoafregning for egenproducenter af elektricitet,</w:t>
      </w:r>
    </w:p>
    <w:p w14:paraId="236F6761" w14:textId="77777777" w:rsidR="00031BAB" w:rsidRPr="008F00F3" w:rsidRDefault="00031BAB" w:rsidP="00031BAB">
      <w:pPr>
        <w:jc w:val="both"/>
        <w:rPr>
          <w:rFonts w:cs="Times New Roman"/>
        </w:rPr>
      </w:pPr>
    </w:p>
    <w:p w14:paraId="03DDB26F" w14:textId="77777777" w:rsidR="00031BAB" w:rsidRPr="008F00F3" w:rsidRDefault="00031BAB" w:rsidP="00031BAB">
      <w:pPr>
        <w:jc w:val="both"/>
        <w:rPr>
          <w:rFonts w:cs="Times New Roman"/>
        </w:rPr>
      </w:pPr>
      <w:r w:rsidRPr="008F00F3">
        <w:rPr>
          <w:rFonts w:cs="Times New Roman"/>
        </w:rPr>
        <w:t>2) at ejeren har indgået bindende aftale om køb af elproduktionsanlægget senest den 19. november 2012, jf. stk. 2,</w:t>
      </w:r>
    </w:p>
    <w:p w14:paraId="6B12F6A8" w14:textId="77777777" w:rsidR="00031BAB" w:rsidRPr="008F00F3" w:rsidRDefault="00031BAB" w:rsidP="00031BAB">
      <w:pPr>
        <w:jc w:val="both"/>
        <w:rPr>
          <w:rFonts w:cs="Times New Roman"/>
        </w:rPr>
      </w:pPr>
    </w:p>
    <w:p w14:paraId="518D7CEC" w14:textId="77777777" w:rsidR="00031BAB" w:rsidRPr="008F00F3" w:rsidRDefault="00031BAB" w:rsidP="00031BAB">
      <w:pPr>
        <w:jc w:val="both"/>
        <w:rPr>
          <w:rFonts w:cs="Times New Roman"/>
        </w:rPr>
      </w:pPr>
      <w:r w:rsidRPr="008F00F3">
        <w:rPr>
          <w:rFonts w:cs="Times New Roman"/>
        </w:rPr>
        <w:t>3) at netvirksomheden senest den 20. december 2012 har modtaget anmeldelse af anlægget med henblik på registrering i Stamdataregisteret, og</w:t>
      </w:r>
    </w:p>
    <w:p w14:paraId="3BFE472C" w14:textId="77777777" w:rsidR="00031BAB" w:rsidRPr="008F00F3" w:rsidRDefault="00031BAB" w:rsidP="00031BAB">
      <w:pPr>
        <w:jc w:val="both"/>
        <w:rPr>
          <w:rFonts w:cs="Times New Roman"/>
        </w:rPr>
      </w:pPr>
    </w:p>
    <w:p w14:paraId="24FD29DE" w14:textId="77777777" w:rsidR="00031BAB" w:rsidRPr="008F00F3" w:rsidRDefault="00031BAB" w:rsidP="00031BAB">
      <w:pPr>
        <w:jc w:val="both"/>
        <w:rPr>
          <w:rFonts w:cs="Times New Roman"/>
        </w:rPr>
      </w:pPr>
      <w:r w:rsidRPr="008F00F3">
        <w:rPr>
          <w:rFonts w:cs="Times New Roman"/>
        </w:rPr>
        <w:t>4) at anlægget er nettilsluttet senest den 31. december 2013.</w:t>
      </w:r>
    </w:p>
    <w:p w14:paraId="1F3BFD0C" w14:textId="77777777" w:rsidR="00031BAB" w:rsidRPr="008F00F3" w:rsidRDefault="00031BAB" w:rsidP="00031BAB">
      <w:pPr>
        <w:jc w:val="both"/>
        <w:rPr>
          <w:rFonts w:cs="Times New Roman"/>
        </w:rPr>
      </w:pPr>
    </w:p>
    <w:p w14:paraId="5B676F34" w14:textId="77777777" w:rsidR="00031BAB" w:rsidRPr="008F00F3" w:rsidRDefault="00031BAB" w:rsidP="00031BAB">
      <w:pPr>
        <w:jc w:val="both"/>
        <w:rPr>
          <w:rFonts w:cs="Times New Roman"/>
        </w:rPr>
      </w:pPr>
      <w:r w:rsidRPr="008F00F3">
        <w:rPr>
          <w:rFonts w:cs="Times New Roman"/>
        </w:rPr>
        <w:t>Stk. 2. Ved ejerens anmodning til Energinet.dk om nettoafregning skal ejeren ved købsfaktura eller lignende fremvise skriftlig dokumentation for, at elproduktionsanlægget er købt senest den 19. november 2012.</w:t>
      </w:r>
    </w:p>
    <w:p w14:paraId="2A22006C" w14:textId="77777777" w:rsidR="00031BAB" w:rsidRPr="008F00F3" w:rsidRDefault="00031BAB" w:rsidP="00031BAB">
      <w:pPr>
        <w:jc w:val="both"/>
        <w:rPr>
          <w:rFonts w:cs="Times New Roman"/>
        </w:rPr>
      </w:pPr>
      <w:r>
        <w:rPr>
          <w:rFonts w:cs="Times New Roman"/>
        </w:rPr>
        <w:t>[…]”</w:t>
      </w:r>
    </w:p>
    <w:p w14:paraId="64D6DEFB" w14:textId="77777777" w:rsidR="001906AC" w:rsidRDefault="001906AC" w:rsidP="007105DD">
      <w:pPr>
        <w:rPr>
          <w:rFonts w:cs="Times New Roman"/>
          <w:lang w:val="en-US"/>
        </w:rPr>
      </w:pPr>
    </w:p>
    <w:p w14:paraId="64D6DEFC" w14:textId="77777777" w:rsidR="001906AC" w:rsidRDefault="001906AC" w:rsidP="007105DD">
      <w:pPr>
        <w:rPr>
          <w:rFonts w:cs="Times New Roman"/>
          <w:lang w:val="en-US"/>
        </w:rPr>
      </w:pPr>
    </w:p>
    <w:p w14:paraId="64D6DEFD" w14:textId="77777777" w:rsidR="001906AC" w:rsidRDefault="001906AC" w:rsidP="007105DD">
      <w:pPr>
        <w:rPr>
          <w:rFonts w:cs="Times New Roman"/>
          <w:lang w:val="en-US"/>
        </w:rPr>
      </w:pPr>
    </w:p>
    <w:p w14:paraId="64D6DF26" w14:textId="24B60A47" w:rsidR="001906AC" w:rsidRDefault="001906AC" w:rsidP="007105DD">
      <w:pPr>
        <w:rPr>
          <w:rFonts w:cs="Times New Roman"/>
          <w:lang w:val="en-US"/>
        </w:rPr>
      </w:pPr>
    </w:p>
    <w:sectPr w:rsidR="001906AC" w:rsidSect="00FF18F7">
      <w:headerReference w:type="first" r:id="rId11"/>
      <w:footerReference w:type="first" r:id="rId12"/>
      <w:pgSz w:w="11910" w:h="16840"/>
      <w:pgMar w:top="2240" w:right="3119" w:bottom="794" w:left="1418" w:header="624" w:footer="567" w:gutter="0"/>
      <w:pgNumType w:start="1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D17980" w16cid:durableId="224C09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2B50A" w14:textId="77777777" w:rsidR="00277230" w:rsidRDefault="00277230" w:rsidP="00814970">
      <w:r>
        <w:separator/>
      </w:r>
    </w:p>
  </w:endnote>
  <w:endnote w:type="continuationSeparator" w:id="0">
    <w:p w14:paraId="0B317D7C" w14:textId="77777777" w:rsidR="00277230" w:rsidRDefault="00277230" w:rsidP="0081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5754300"/>
      <w:docPartObj>
        <w:docPartGallery w:val="Page Numbers (Bottom of Page)"/>
        <w:docPartUnique/>
      </w:docPartObj>
    </w:sdtPr>
    <w:sdtEndPr/>
    <w:sdtContent>
      <w:p w14:paraId="64D6DF2F" w14:textId="0DC585B5" w:rsidR="00FF18F7" w:rsidRDefault="00FF18F7">
        <w:pPr>
          <w:pStyle w:val="Sidefod"/>
          <w:jc w:val="right"/>
        </w:pPr>
        <w:r>
          <w:t xml:space="preserve">Side </w:t>
        </w:r>
        <w:r w:rsidRPr="00FF18F7">
          <w:rPr>
            <w:b/>
          </w:rPr>
          <w:fldChar w:fldCharType="begin"/>
        </w:r>
        <w:r w:rsidRPr="00FF18F7">
          <w:rPr>
            <w:b/>
          </w:rPr>
          <w:instrText>PAGE   \* MERGEFORMAT</w:instrText>
        </w:r>
        <w:r w:rsidRPr="00FF18F7">
          <w:rPr>
            <w:b/>
          </w:rPr>
          <w:fldChar w:fldCharType="separate"/>
        </w:r>
        <w:r w:rsidR="00BA7C50">
          <w:rPr>
            <w:b/>
            <w:noProof/>
          </w:rPr>
          <w:t>1</w:t>
        </w:r>
        <w:r w:rsidRPr="00FF18F7">
          <w:rPr>
            <w:b/>
          </w:rPr>
          <w:fldChar w:fldCharType="end"/>
        </w:r>
        <w:r>
          <w:t xml:space="preserve"> af </w:t>
        </w:r>
        <w:r w:rsidR="00031BAB">
          <w:rPr>
            <w:b/>
          </w:rPr>
          <w:t>6</w:t>
        </w:r>
      </w:p>
    </w:sdtContent>
  </w:sdt>
  <w:p w14:paraId="64D6DF30" w14:textId="77777777" w:rsidR="00FF18F7" w:rsidRDefault="00FF18F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79818" w14:textId="77777777" w:rsidR="00277230" w:rsidRDefault="00277230" w:rsidP="00814970">
      <w:r>
        <w:separator/>
      </w:r>
    </w:p>
  </w:footnote>
  <w:footnote w:type="continuationSeparator" w:id="0">
    <w:p w14:paraId="6EE8399A" w14:textId="77777777" w:rsidR="00277230" w:rsidRDefault="00277230" w:rsidP="00814970">
      <w:r>
        <w:continuationSeparator/>
      </w:r>
    </w:p>
  </w:footnote>
  <w:footnote w:id="1">
    <w:p w14:paraId="098A2533" w14:textId="77777777" w:rsidR="00195762" w:rsidRDefault="00195762" w:rsidP="0055162D">
      <w:pPr>
        <w:pStyle w:val="Fodnotetekst"/>
        <w:jc w:val="both"/>
      </w:pPr>
      <w:r>
        <w:rPr>
          <w:rStyle w:val="Fodnotehenvisning"/>
        </w:rPr>
        <w:footnoteRef/>
      </w:r>
      <w:r>
        <w:t xml:space="preserve"> Bekendtgørelse nr. 999 af 29. juni 2016 om nettoafregning for egenproducenter af elektricitet.</w:t>
      </w:r>
    </w:p>
  </w:footnote>
  <w:footnote w:id="2">
    <w:p w14:paraId="6919C966" w14:textId="0AD3E108" w:rsidR="001F284C" w:rsidRDefault="001F284C" w:rsidP="0055162D">
      <w:pPr>
        <w:pStyle w:val="Fodnotetekst"/>
        <w:jc w:val="both"/>
      </w:pPr>
      <w:r>
        <w:rPr>
          <w:rStyle w:val="Fodnotehenvisning"/>
        </w:rPr>
        <w:footnoteRef/>
      </w:r>
      <w:r>
        <w:t xml:space="preserve"> Afgøresen er offentliggjort på hjemmesiden </w:t>
      </w:r>
      <w:hyperlink r:id="rId1" w:history="1">
        <w:r w:rsidRPr="00D52AEF">
          <w:rPr>
            <w:rStyle w:val="Hyperlink"/>
          </w:rPr>
          <w:t>www.naevneneshus.dk</w:t>
        </w:r>
      </w:hyperlink>
      <w:r>
        <w:t xml:space="preserve"> under menupunktet Nævnenes &gt; Energiklagenævnet &gt; Tidligere afgørelser.</w:t>
      </w:r>
    </w:p>
  </w:footnote>
  <w:footnote w:id="3">
    <w:p w14:paraId="6CA6E453" w14:textId="771F381C" w:rsidR="001F284C" w:rsidRDefault="001F284C" w:rsidP="0055162D">
      <w:pPr>
        <w:pStyle w:val="Fodnotetekst"/>
        <w:jc w:val="both"/>
      </w:pPr>
      <w:r>
        <w:rPr>
          <w:rStyle w:val="Fodnotehenvisning"/>
        </w:rPr>
        <w:footnoteRef/>
      </w:r>
      <w:r>
        <w:t xml:space="preserve"> Lovbekendtgørelse nr. 119 af 6. februar 2020 </w:t>
      </w:r>
      <w:r w:rsidR="00E8291A">
        <w:t>af lov om elforsyning.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6DF2E" w14:textId="77777777" w:rsidR="001906AC" w:rsidRDefault="001906A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980"/>
    <w:multiLevelType w:val="hybridMultilevel"/>
    <w:tmpl w:val="5782AD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E67CE"/>
    <w:multiLevelType w:val="hybridMultilevel"/>
    <w:tmpl w:val="2A0C62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35676"/>
    <w:multiLevelType w:val="hybridMultilevel"/>
    <w:tmpl w:val="66D09C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47CE8"/>
    <w:multiLevelType w:val="multilevel"/>
    <w:tmpl w:val="1E10A4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36A5AC1"/>
    <w:multiLevelType w:val="hybridMultilevel"/>
    <w:tmpl w:val="E79879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US" w:vendorID="64" w:dllVersion="0" w:nlCheck="1" w:checkStyle="0"/>
  <w:activeWritingStyle w:appName="MSWord" w:lang="da-DK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AE"/>
    <w:rsid w:val="00016491"/>
    <w:rsid w:val="00031BAB"/>
    <w:rsid w:val="00035A0A"/>
    <w:rsid w:val="00035D7C"/>
    <w:rsid w:val="000928FD"/>
    <w:rsid w:val="000943C7"/>
    <w:rsid w:val="00096C78"/>
    <w:rsid w:val="000B265C"/>
    <w:rsid w:val="000B3F4D"/>
    <w:rsid w:val="000C2966"/>
    <w:rsid w:val="000E38B5"/>
    <w:rsid w:val="001364D3"/>
    <w:rsid w:val="00147D2B"/>
    <w:rsid w:val="00182E0A"/>
    <w:rsid w:val="00187F53"/>
    <w:rsid w:val="001906AC"/>
    <w:rsid w:val="00191827"/>
    <w:rsid w:val="00195762"/>
    <w:rsid w:val="001A0F5F"/>
    <w:rsid w:val="001A12BB"/>
    <w:rsid w:val="001A7C08"/>
    <w:rsid w:val="001C3447"/>
    <w:rsid w:val="001D3BAE"/>
    <w:rsid w:val="001F284C"/>
    <w:rsid w:val="00200069"/>
    <w:rsid w:val="002305A1"/>
    <w:rsid w:val="0024045A"/>
    <w:rsid w:val="002441A5"/>
    <w:rsid w:val="00246ED8"/>
    <w:rsid w:val="002537AE"/>
    <w:rsid w:val="0027450D"/>
    <w:rsid w:val="00277230"/>
    <w:rsid w:val="00282527"/>
    <w:rsid w:val="00284D47"/>
    <w:rsid w:val="002A2E9A"/>
    <w:rsid w:val="002B476B"/>
    <w:rsid w:val="002B5F9A"/>
    <w:rsid w:val="002C0932"/>
    <w:rsid w:val="002C5738"/>
    <w:rsid w:val="002C6F0B"/>
    <w:rsid w:val="002E2B53"/>
    <w:rsid w:val="002F14F7"/>
    <w:rsid w:val="003008E1"/>
    <w:rsid w:val="003323D6"/>
    <w:rsid w:val="00360A92"/>
    <w:rsid w:val="003619D3"/>
    <w:rsid w:val="00370AD2"/>
    <w:rsid w:val="00374B45"/>
    <w:rsid w:val="0037692D"/>
    <w:rsid w:val="00386064"/>
    <w:rsid w:val="003C6CE2"/>
    <w:rsid w:val="003D2EFA"/>
    <w:rsid w:val="003E25DB"/>
    <w:rsid w:val="003E2AEE"/>
    <w:rsid w:val="003F2436"/>
    <w:rsid w:val="00415A3D"/>
    <w:rsid w:val="00424CCD"/>
    <w:rsid w:val="004470A5"/>
    <w:rsid w:val="00453E10"/>
    <w:rsid w:val="0046775B"/>
    <w:rsid w:val="004728B6"/>
    <w:rsid w:val="00474DBE"/>
    <w:rsid w:val="0047558A"/>
    <w:rsid w:val="00481BFD"/>
    <w:rsid w:val="004A6B6A"/>
    <w:rsid w:val="004B264A"/>
    <w:rsid w:val="004B3B6C"/>
    <w:rsid w:val="004C1089"/>
    <w:rsid w:val="004C4E1E"/>
    <w:rsid w:val="004C7885"/>
    <w:rsid w:val="004D56A2"/>
    <w:rsid w:val="004D6660"/>
    <w:rsid w:val="004D68D3"/>
    <w:rsid w:val="004F1579"/>
    <w:rsid w:val="004F6586"/>
    <w:rsid w:val="004F6A5C"/>
    <w:rsid w:val="00506189"/>
    <w:rsid w:val="00524073"/>
    <w:rsid w:val="00543A5D"/>
    <w:rsid w:val="005515F2"/>
    <w:rsid w:val="0055162D"/>
    <w:rsid w:val="00555C76"/>
    <w:rsid w:val="00561CE2"/>
    <w:rsid w:val="00581BAD"/>
    <w:rsid w:val="00582C31"/>
    <w:rsid w:val="005A14F6"/>
    <w:rsid w:val="005A2751"/>
    <w:rsid w:val="005A600D"/>
    <w:rsid w:val="005C6DF0"/>
    <w:rsid w:val="005D3783"/>
    <w:rsid w:val="005E2E73"/>
    <w:rsid w:val="0060189A"/>
    <w:rsid w:val="00604F32"/>
    <w:rsid w:val="0060590F"/>
    <w:rsid w:val="00606057"/>
    <w:rsid w:val="0061019E"/>
    <w:rsid w:val="00624D7B"/>
    <w:rsid w:val="00626610"/>
    <w:rsid w:val="00636486"/>
    <w:rsid w:val="00656CBE"/>
    <w:rsid w:val="00663D20"/>
    <w:rsid w:val="00671581"/>
    <w:rsid w:val="0067720D"/>
    <w:rsid w:val="00692613"/>
    <w:rsid w:val="00693BAF"/>
    <w:rsid w:val="006B07DE"/>
    <w:rsid w:val="006C0194"/>
    <w:rsid w:val="006D39A3"/>
    <w:rsid w:val="006E139D"/>
    <w:rsid w:val="006F37C7"/>
    <w:rsid w:val="006F6039"/>
    <w:rsid w:val="007105DD"/>
    <w:rsid w:val="00712C86"/>
    <w:rsid w:val="00714B97"/>
    <w:rsid w:val="007253BB"/>
    <w:rsid w:val="007303E6"/>
    <w:rsid w:val="00753709"/>
    <w:rsid w:val="00766BA8"/>
    <w:rsid w:val="007809ED"/>
    <w:rsid w:val="00795982"/>
    <w:rsid w:val="007974B9"/>
    <w:rsid w:val="007A5EC9"/>
    <w:rsid w:val="007C23C9"/>
    <w:rsid w:val="007C40C3"/>
    <w:rsid w:val="007C7C58"/>
    <w:rsid w:val="007D5DF8"/>
    <w:rsid w:val="007E7F19"/>
    <w:rsid w:val="007F0C82"/>
    <w:rsid w:val="007F3612"/>
    <w:rsid w:val="007F6FD4"/>
    <w:rsid w:val="008070C5"/>
    <w:rsid w:val="00807E29"/>
    <w:rsid w:val="00810660"/>
    <w:rsid w:val="00814970"/>
    <w:rsid w:val="00815A5D"/>
    <w:rsid w:val="00844570"/>
    <w:rsid w:val="0086280A"/>
    <w:rsid w:val="00895055"/>
    <w:rsid w:val="008A195A"/>
    <w:rsid w:val="008A25D1"/>
    <w:rsid w:val="008A65A2"/>
    <w:rsid w:val="008C2B6A"/>
    <w:rsid w:val="008F22B6"/>
    <w:rsid w:val="00905047"/>
    <w:rsid w:val="00916898"/>
    <w:rsid w:val="00917630"/>
    <w:rsid w:val="00926AC5"/>
    <w:rsid w:val="00940A8B"/>
    <w:rsid w:val="00945997"/>
    <w:rsid w:val="0094722A"/>
    <w:rsid w:val="00980E9A"/>
    <w:rsid w:val="0098438D"/>
    <w:rsid w:val="00984C86"/>
    <w:rsid w:val="0098575F"/>
    <w:rsid w:val="009A62FE"/>
    <w:rsid w:val="009C3A21"/>
    <w:rsid w:val="009C72EC"/>
    <w:rsid w:val="009F5454"/>
    <w:rsid w:val="00A22ACD"/>
    <w:rsid w:val="00A30105"/>
    <w:rsid w:val="00A54E37"/>
    <w:rsid w:val="00A65BF0"/>
    <w:rsid w:val="00A76DD7"/>
    <w:rsid w:val="00A81F9E"/>
    <w:rsid w:val="00AA66E5"/>
    <w:rsid w:val="00AC5932"/>
    <w:rsid w:val="00B15239"/>
    <w:rsid w:val="00B21B37"/>
    <w:rsid w:val="00B2277B"/>
    <w:rsid w:val="00B301AA"/>
    <w:rsid w:val="00B37039"/>
    <w:rsid w:val="00B66837"/>
    <w:rsid w:val="00B711D0"/>
    <w:rsid w:val="00B97AC9"/>
    <w:rsid w:val="00BA7C50"/>
    <w:rsid w:val="00BB797D"/>
    <w:rsid w:val="00BC4F09"/>
    <w:rsid w:val="00BC576D"/>
    <w:rsid w:val="00BF795F"/>
    <w:rsid w:val="00C30CA5"/>
    <w:rsid w:val="00C557F6"/>
    <w:rsid w:val="00C6235D"/>
    <w:rsid w:val="00C62BB7"/>
    <w:rsid w:val="00C7148A"/>
    <w:rsid w:val="00C84D4E"/>
    <w:rsid w:val="00CD2236"/>
    <w:rsid w:val="00CE43AE"/>
    <w:rsid w:val="00D05045"/>
    <w:rsid w:val="00D05FA5"/>
    <w:rsid w:val="00D13B12"/>
    <w:rsid w:val="00D26A11"/>
    <w:rsid w:val="00D348C9"/>
    <w:rsid w:val="00D532A2"/>
    <w:rsid w:val="00D61028"/>
    <w:rsid w:val="00D93BF7"/>
    <w:rsid w:val="00D94AB3"/>
    <w:rsid w:val="00D94B24"/>
    <w:rsid w:val="00D95A15"/>
    <w:rsid w:val="00DB09CE"/>
    <w:rsid w:val="00DB63EF"/>
    <w:rsid w:val="00DD2AFB"/>
    <w:rsid w:val="00DD7DAE"/>
    <w:rsid w:val="00E2140C"/>
    <w:rsid w:val="00E221D4"/>
    <w:rsid w:val="00E42ED4"/>
    <w:rsid w:val="00E56D78"/>
    <w:rsid w:val="00E61709"/>
    <w:rsid w:val="00E71C3B"/>
    <w:rsid w:val="00E8291A"/>
    <w:rsid w:val="00E94F93"/>
    <w:rsid w:val="00E950A1"/>
    <w:rsid w:val="00EB3EAD"/>
    <w:rsid w:val="00EC6777"/>
    <w:rsid w:val="00EF73CC"/>
    <w:rsid w:val="00F12456"/>
    <w:rsid w:val="00F168D4"/>
    <w:rsid w:val="00F22E5E"/>
    <w:rsid w:val="00F33162"/>
    <w:rsid w:val="00F51495"/>
    <w:rsid w:val="00F67476"/>
    <w:rsid w:val="00F81D01"/>
    <w:rsid w:val="00F832C1"/>
    <w:rsid w:val="00FA5770"/>
    <w:rsid w:val="00FB04CF"/>
    <w:rsid w:val="00FB0CFA"/>
    <w:rsid w:val="00FB6D34"/>
    <w:rsid w:val="00FD21DB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6DE66"/>
  <w15:docId w15:val="{B5E2246B-1246-42AE-AB7E-5A757181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7148A"/>
    <w:rPr>
      <w:rFonts w:ascii="Times New Roman" w:eastAsia="Arial" w:hAnsi="Times New Roman" w:cs="Arial"/>
      <w:sz w:val="24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Pr>
      <w:rFonts w:eastAsia="Times New Roman" w:cs="Times New Roman"/>
      <w:szCs w:val="2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A65A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A65A2"/>
    <w:rPr>
      <w:rFonts w:ascii="Tahoma" w:eastAsia="Arial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5A600D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81497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14970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81497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14970"/>
    <w:rPr>
      <w:rFonts w:ascii="Arial" w:eastAsia="Arial" w:hAnsi="Arial" w:cs="Arial"/>
    </w:rPr>
  </w:style>
  <w:style w:type="character" w:customStyle="1" w:styleId="BrdtekstTegn">
    <w:name w:val="Brødtekst Tegn"/>
    <w:basedOn w:val="Standardskrifttypeiafsnit"/>
    <w:link w:val="Brdtekst"/>
    <w:uiPriority w:val="1"/>
    <w:rsid w:val="0060189A"/>
    <w:rPr>
      <w:rFonts w:ascii="Times New Roman" w:eastAsia="Times New Roman" w:hAnsi="Times New Roman" w:cs="Times New Roman"/>
      <w:sz w:val="24"/>
      <w:szCs w:val="24"/>
    </w:rPr>
  </w:style>
  <w:style w:type="paragraph" w:customStyle="1" w:styleId="skakt">
    <w:name w:val="skakt"/>
    <w:basedOn w:val="Normal"/>
    <w:rsid w:val="004B264A"/>
    <w:pPr>
      <w:framePr w:w="2268" w:h="7370" w:hSpace="141" w:wrap="around" w:hAnchor="page" w:x="9270" w:anchorLock="1"/>
      <w:widowControl/>
      <w:autoSpaceDE/>
      <w:autoSpaceDN/>
      <w:spacing w:line="280" w:lineRule="exact"/>
    </w:pPr>
    <w:rPr>
      <w:rFonts w:ascii="Arial" w:eastAsia="Times New Roman" w:hAnsi="Arial" w:cs="Times New Roman"/>
      <w:sz w:val="15"/>
      <w:szCs w:val="20"/>
    </w:rPr>
  </w:style>
  <w:style w:type="table" w:styleId="Tabel-Gitter">
    <w:name w:val="Table Grid"/>
    <w:basedOn w:val="Tabel-Normal"/>
    <w:uiPriority w:val="59"/>
    <w:rsid w:val="008F2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26AC5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926AC5"/>
    <w:rPr>
      <w:color w:val="800080" w:themeColor="followedHyperlink"/>
      <w:u w:val="single"/>
    </w:rPr>
  </w:style>
  <w:style w:type="paragraph" w:customStyle="1" w:styleId="Default">
    <w:name w:val="Default"/>
    <w:rsid w:val="007F3612"/>
    <w:pPr>
      <w:widowControl/>
      <w:adjustRightInd w:val="0"/>
    </w:pPr>
    <w:rPr>
      <w:rFonts w:ascii="Calibri" w:hAnsi="Calibri" w:cs="Calibri"/>
      <w:color w:val="000000"/>
      <w:sz w:val="24"/>
      <w:szCs w:val="24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26A11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26A11"/>
    <w:rPr>
      <w:rFonts w:ascii="Times New Roman" w:eastAsia="Arial" w:hAnsi="Times New Roman" w:cs="Arial"/>
      <w:sz w:val="20"/>
      <w:szCs w:val="20"/>
      <w:lang w:val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26A11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0605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06057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06057"/>
    <w:rPr>
      <w:rFonts w:ascii="Times New Roman" w:eastAsia="Arial" w:hAnsi="Times New Roman" w:cs="Arial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0605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06057"/>
    <w:rPr>
      <w:rFonts w:ascii="Times New Roman" w:eastAsia="Arial" w:hAnsi="Times New Roman" w:cs="Arial"/>
      <w:b/>
      <w:bCs/>
      <w:sz w:val="20"/>
      <w:szCs w:val="2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kn.dk/afgoerelser" TargetMode="External"/><Relationship Id="rId4" Type="http://schemas.openxmlformats.org/officeDocument/2006/relationships/styles" Target="styles.xml"/><Relationship Id="rId9" Type="http://schemas.openxmlformats.org/officeDocument/2006/relationships/hyperlink" Target="https://naevneneshus.dk/start-din-klage/energiklagenaevnet/" TargetMode="Externa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evneneshus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36012\Desktop\N&#230;vnsafg&#248;relsesskabelon%20-%20N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0396CA5C6D4B95AADCA81FB6B326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9FAF9F-5F72-4BC6-9A1F-FDFFA92DF364}"/>
      </w:docPartPr>
      <w:docPartBody>
        <w:p w:rsidR="004E734A" w:rsidRDefault="00AD0B19">
          <w:pPr>
            <w:pStyle w:val="780396CA5C6D4B95AADCA81FB6B326AE"/>
          </w:pPr>
          <w:r w:rsidRPr="00D45843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19"/>
    <w:rsid w:val="001A3D78"/>
    <w:rsid w:val="003E3839"/>
    <w:rsid w:val="00472025"/>
    <w:rsid w:val="004C491A"/>
    <w:rsid w:val="004D7E88"/>
    <w:rsid w:val="004E734A"/>
    <w:rsid w:val="00567CE9"/>
    <w:rsid w:val="00685A2E"/>
    <w:rsid w:val="006A5E58"/>
    <w:rsid w:val="00813EFC"/>
    <w:rsid w:val="008733BE"/>
    <w:rsid w:val="009977E3"/>
    <w:rsid w:val="00AD0B19"/>
    <w:rsid w:val="00B136AB"/>
    <w:rsid w:val="00D61D63"/>
    <w:rsid w:val="00E2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</w:style>
  <w:style w:type="paragraph" w:customStyle="1" w:styleId="23A6791FFA8F4B5894E2A6F69573F8EF">
    <w:name w:val="23A6791FFA8F4B5894E2A6F69573F8EF"/>
  </w:style>
  <w:style w:type="paragraph" w:customStyle="1" w:styleId="3626871A0FFC43DBA3C1E1E1E8C350C4">
    <w:name w:val="3626871A0FFC43DBA3C1E1E1E8C350C4"/>
  </w:style>
  <w:style w:type="paragraph" w:customStyle="1" w:styleId="5721AB9BA4604CF3ADEC6310F31D205E">
    <w:name w:val="5721AB9BA4604CF3ADEC6310F31D205E"/>
  </w:style>
  <w:style w:type="paragraph" w:customStyle="1" w:styleId="DFE45EDD3393470CBC2580AB52E45946">
    <w:name w:val="DFE45EDD3393470CBC2580AB52E45946"/>
  </w:style>
  <w:style w:type="paragraph" w:customStyle="1" w:styleId="DC0F818FCFDF4D64A138C30CBC751E67">
    <w:name w:val="DC0F818FCFDF4D64A138C30CBC751E67"/>
  </w:style>
  <w:style w:type="paragraph" w:customStyle="1" w:styleId="CE3B14C6A86B45D89E1B03B44581D5A4">
    <w:name w:val="CE3B14C6A86B45D89E1B03B44581D5A4"/>
  </w:style>
  <w:style w:type="paragraph" w:customStyle="1" w:styleId="9A57565C1A314D64A7280E43F1631D44">
    <w:name w:val="9A57565C1A314D64A7280E43F1631D44"/>
  </w:style>
  <w:style w:type="paragraph" w:customStyle="1" w:styleId="4844596C78644BC98901119F4C001C17">
    <w:name w:val="4844596C78644BC98901119F4C001C17"/>
  </w:style>
  <w:style w:type="paragraph" w:customStyle="1" w:styleId="780396CA5C6D4B95AADCA81FB6B326AE">
    <w:name w:val="780396CA5C6D4B95AADCA81FB6B326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OurRef.Name gbs:loadFromGrowBusiness="OnProduce" gbs:saveInGrowBusiness="False" gbs:connected="true" gbs:recno="" gbs:entity="" gbs:datatype="string" gbs:key="2659251395">Lotte Rud Jensen</gbs:OurRef.Name>
  <gbs:OurRef.Title gbs:loadFromGrowBusiness="OnProduce" gbs:saveInGrowBusiness="False" gbs:connected="true" gbs:recno="" gbs:entity="" gbs:datatype="string" gbs:key="1072775561">Fuldmægtig, cand.jur.</gbs:OurRef.Title>
  <gbs:ToReceivers.Name gbs:loadFromGrowBusiness="OnEdit" gbs:saveInGrowBusiness="False" gbs:connected="true" gbs:recno="" gbs:entity="" gbs:datatype="string" gbs:key="820782333" gbs:dispatchrecipient="true" gbs:removeContentControl="0"/>
  <gbs:ToReceivers.Address gbs:loadFromGrowBusiness="OnEdit" gbs:saveInGrowBusiness="False" gbs:connected="true" gbs:recno="" gbs:entity="" gbs:datatype="string" gbs:key="3357447037" gbs:removeContentControl="0"/>
  <gbs:ToActivityContactJOINEX.Zip gbs:loadFromGrowBusiness="OnEdit" gbs:saveInGrowBusiness="False" gbs:connected="true" gbs:recno="" gbs:entity="" gbs:datatype="string" gbs:key="2190412578" gbs:removeContentControl="0" gbs:joinex="[JOINEX=[ToRole] {!OJEX!}=6]"/>
  <gbs:DocumentNumber gbs:loadFromGrowBusiness="OnProduce" gbs:saveInGrowBusiness="False" gbs:connected="true" gbs:recno="" gbs:entity="" gbs:datatype="note" gbs:key="2128962085" gbs:removeContentControl="0">19/07907</gbs:DocumentNumber>
  <gbs:ToOrgUnit.Name gbs:loadFromGrowBusiness="OnProduce" gbs:saveInGrowBusiness="False" gbs:connected="true" gbs:recno="" gbs:entity="" gbs:datatype="string" gbs:key="659815117" gbs:removeContentControl="0">ENERGIKLAGENÆVNET</gbs:ToOrgUnit.Name>
  <gbs:ToOrgUnit.E-mail gbs:loadFromGrowBusiness="OnProduce" gbs:saveInGrowBusiness="False" gbs:connected="true" gbs:recno="" gbs:entity="" gbs:datatype="string" gbs:key="1185173196" gbs:removeContentControl="0">ekn@naevneneshus.dk</gbs:ToOrgUnit.E-mail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2D3CA-A574-4BF2-8F10-D6490E8168EA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CF233DDF-B685-4B58-BB61-86487B27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Nævnsafgørelsesskabelon - NY.dotx</Template>
  <TotalTime>7</TotalTime>
  <Pages>1</Pages>
  <Words>1504</Words>
  <Characters>9181</Characters>
  <Application>Microsoft Office Word</Application>
  <DocSecurity>0</DocSecurity>
  <Lines>76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Energiklagenævnet afviser klagen.</dc:creator>
  <cp:lastModifiedBy>Anne Bo Skov</cp:lastModifiedBy>
  <cp:revision>9</cp:revision>
  <dcterms:created xsi:type="dcterms:W3CDTF">2020-04-28T11:52:00Z</dcterms:created>
  <dcterms:modified xsi:type="dcterms:W3CDTF">2020-04-30T09:08:00Z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2017-10-27T00:00:00Z</vt:filetime>
  </property>
  <property fmtid="{D5CDD505-2E9C-101B-9397-08002B2CF9AE}" pid="5" name="ContentRemapped">
    <vt:lpwstr>true</vt:lpwstr>
  </property>
  <property fmtid="{D5CDD505-2E9C-101B-9397-08002B2CF9AE}" pid="6" name="sipTrackRevision">
    <vt:lpwstr>false</vt:lpwstr>
  </property>
</Properties>
</file>